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5E" w:rsidRPr="009E51FC" w:rsidRDefault="00A1335E" w:rsidP="00A1335E"/>
    <w:tbl>
      <w:tblPr>
        <w:tblW w:w="0" w:type="auto"/>
        <w:tblInd w:w="108" w:type="dxa"/>
        <w:tblLayout w:type="fixed"/>
        <w:tblLook w:val="04A0" w:firstRow="1" w:lastRow="0" w:firstColumn="1" w:lastColumn="0" w:noHBand="0" w:noVBand="1"/>
      </w:tblPr>
      <w:tblGrid>
        <w:gridCol w:w="2438"/>
        <w:gridCol w:w="6406"/>
      </w:tblGrid>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To:</w:t>
            </w:r>
          </w:p>
        </w:tc>
        <w:tc>
          <w:tcPr>
            <w:tcW w:w="6406" w:type="dxa"/>
            <w:shd w:val="clear" w:color="auto" w:fill="auto"/>
          </w:tcPr>
          <w:p w:rsidR="00A1335E" w:rsidRPr="00F95BC9" w:rsidRDefault="00A1335E" w:rsidP="00A71583">
            <w:pPr>
              <w:rPr>
                <w:rStyle w:val="Firstpagetablebold"/>
              </w:rPr>
            </w:pPr>
            <w:r w:rsidRPr="00F95BC9">
              <w:rPr>
                <w:rStyle w:val="Firstpagetablebold"/>
              </w:rPr>
              <w:t>C</w:t>
            </w:r>
            <w:r w:rsidR="00A71583">
              <w:rPr>
                <w:rStyle w:val="Firstpagetablebold"/>
              </w:rPr>
              <w:t>abinet</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Date:</w:t>
            </w:r>
          </w:p>
        </w:tc>
        <w:tc>
          <w:tcPr>
            <w:tcW w:w="6406" w:type="dxa"/>
            <w:shd w:val="clear" w:color="auto" w:fill="auto"/>
          </w:tcPr>
          <w:p w:rsidR="00A1335E" w:rsidRPr="001356F1" w:rsidRDefault="00A1335E" w:rsidP="00D023C4">
            <w:pPr>
              <w:rPr>
                <w:b/>
              </w:rPr>
            </w:pPr>
            <w:r>
              <w:rPr>
                <w:rStyle w:val="Firstpagetablebold"/>
              </w:rPr>
              <w:t>1</w:t>
            </w:r>
            <w:r w:rsidR="00D023C4">
              <w:rPr>
                <w:rStyle w:val="Firstpagetablebold"/>
              </w:rPr>
              <w:t>1</w:t>
            </w:r>
            <w:r>
              <w:rPr>
                <w:rStyle w:val="Firstpagetablebold"/>
              </w:rPr>
              <w:t xml:space="preserve"> </w:t>
            </w:r>
            <w:r w:rsidR="00D023C4">
              <w:rPr>
                <w:rStyle w:val="Firstpagetablebold"/>
              </w:rPr>
              <w:t>March</w:t>
            </w:r>
            <w:r w:rsidR="00267EF3">
              <w:rPr>
                <w:rStyle w:val="Firstpagetablebold"/>
              </w:rPr>
              <w:t xml:space="preserve"> </w:t>
            </w:r>
            <w:r>
              <w:rPr>
                <w:rStyle w:val="Firstpagetablebold"/>
              </w:rPr>
              <w:t xml:space="preserve"> 20</w:t>
            </w:r>
            <w:r w:rsidR="00D023C4">
              <w:rPr>
                <w:rStyle w:val="Firstpagetablebold"/>
              </w:rPr>
              <w:t>20</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rsidR="00A1335E" w:rsidRPr="001356F1" w:rsidRDefault="00641F73" w:rsidP="00641F73">
            <w:pPr>
              <w:rPr>
                <w:rStyle w:val="Firstpagetablebold"/>
              </w:rPr>
            </w:pPr>
            <w:r>
              <w:rPr>
                <w:rFonts w:cs="Arial"/>
                <w:b/>
                <w:bCs/>
              </w:rPr>
              <w:t>Head of Planning Services</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rsidR="00A1335E" w:rsidRPr="00707449" w:rsidRDefault="00D023C4" w:rsidP="00D023C4">
            <w:pPr>
              <w:tabs>
                <w:tab w:val="left" w:pos="2160"/>
              </w:tabs>
              <w:spacing w:after="0"/>
              <w:rPr>
                <w:rStyle w:val="Firstpagetablebold"/>
                <w:rFonts w:cs="Arial"/>
                <w:bCs/>
                <w:color w:val="auto"/>
                <w:lang w:eastAsia="en-US"/>
              </w:rPr>
            </w:pPr>
            <w:r>
              <w:rPr>
                <w:rFonts w:cs="Arial"/>
                <w:b/>
                <w:bCs/>
                <w:color w:val="auto"/>
                <w:lang w:eastAsia="en-US"/>
              </w:rPr>
              <w:t>CIL Charging Schedule Review</w:t>
            </w:r>
            <w:r w:rsidR="001A4E13">
              <w:rPr>
                <w:rFonts w:cs="Arial"/>
                <w:b/>
                <w:bCs/>
                <w:color w:val="auto"/>
                <w:lang w:eastAsia="en-US"/>
              </w:rPr>
              <w:t>- withdrawal from examination</w:t>
            </w:r>
          </w:p>
        </w:tc>
      </w:tr>
    </w:tbl>
    <w:p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rsidTr="00254345">
        <w:tc>
          <w:tcPr>
            <w:tcW w:w="8845" w:type="dxa"/>
            <w:gridSpan w:val="3"/>
            <w:tcBorders>
              <w:bottom w:val="single" w:sz="8" w:space="0" w:color="000000"/>
            </w:tcBorders>
            <w:hideMark/>
          </w:tcPr>
          <w:p w:rsidR="00A1335E" w:rsidRDefault="00A1335E" w:rsidP="00254345">
            <w:pPr>
              <w:jc w:val="center"/>
              <w:rPr>
                <w:rStyle w:val="Firstpagetablebold"/>
              </w:rPr>
            </w:pPr>
            <w:r>
              <w:rPr>
                <w:rStyle w:val="Firstpagetablebold"/>
              </w:rPr>
              <w:t>Summary and recommendations</w:t>
            </w:r>
          </w:p>
        </w:tc>
      </w:tr>
      <w:tr w:rsidR="00A1335E" w:rsidTr="00254345">
        <w:tc>
          <w:tcPr>
            <w:tcW w:w="2438" w:type="dxa"/>
            <w:gridSpan w:val="2"/>
            <w:tcBorders>
              <w:top w:val="single" w:sz="8" w:space="0" w:color="000000"/>
              <w:left w:val="single" w:sz="8" w:space="0" w:color="000000"/>
              <w:bottom w:val="nil"/>
              <w:right w:val="nil"/>
            </w:tcBorders>
            <w:hideMark/>
          </w:tcPr>
          <w:p w:rsidR="00A1335E" w:rsidRDefault="00A1335E" w:rsidP="00254345">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35E" w:rsidRPr="001356F1" w:rsidRDefault="00A1335E" w:rsidP="002B4321">
            <w:r w:rsidRPr="00707449">
              <w:t xml:space="preserve">To </w:t>
            </w:r>
            <w:r w:rsidR="00D023C4">
              <w:t xml:space="preserve">consider </w:t>
            </w:r>
            <w:r w:rsidR="001A4E13">
              <w:t>withdrawal of</w:t>
            </w:r>
            <w:r w:rsidR="00D023C4">
              <w:t xml:space="preserve"> the CIL Draft Charging Schedule Review</w:t>
            </w:r>
            <w:r w:rsidR="002B4321">
              <w:t xml:space="preserve"> from examination.</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A1335E" w:rsidRPr="001356F1" w:rsidRDefault="004D4428" w:rsidP="00254345">
            <w:r>
              <w:t>Yes</w:t>
            </w:r>
          </w:p>
        </w:tc>
      </w:tr>
      <w:tr w:rsidR="00A1335E" w:rsidTr="00254345">
        <w:tc>
          <w:tcPr>
            <w:tcW w:w="2438" w:type="dxa"/>
            <w:gridSpan w:val="2"/>
            <w:tcBorders>
              <w:top w:val="nil"/>
              <w:left w:val="single" w:sz="8" w:space="0" w:color="000000"/>
              <w:bottom w:val="nil"/>
              <w:right w:val="nil"/>
            </w:tcBorders>
            <w:hideMark/>
          </w:tcPr>
          <w:p w:rsidR="00A1335E" w:rsidRDefault="001F7EBA" w:rsidP="00254345">
            <w:pPr>
              <w:rPr>
                <w:rStyle w:val="Firstpagetablebold"/>
              </w:rPr>
            </w:pPr>
            <w:r>
              <w:rPr>
                <w:rStyle w:val="Firstpagetablebold"/>
              </w:rPr>
              <w:t>Cabinet</w:t>
            </w:r>
            <w:r w:rsidR="00A1335E">
              <w:rPr>
                <w:rStyle w:val="Firstpagetablebold"/>
              </w:rPr>
              <w:t xml:space="preserve"> Member:</w:t>
            </w:r>
          </w:p>
        </w:tc>
        <w:tc>
          <w:tcPr>
            <w:tcW w:w="6407" w:type="dxa"/>
            <w:tcBorders>
              <w:top w:val="nil"/>
              <w:left w:val="nil"/>
              <w:bottom w:val="nil"/>
              <w:right w:val="single" w:sz="8" w:space="0" w:color="000000"/>
            </w:tcBorders>
            <w:hideMark/>
          </w:tcPr>
          <w:p w:rsidR="00A1335E" w:rsidRPr="001356F1" w:rsidRDefault="00A1335E" w:rsidP="00254345">
            <w:r w:rsidRPr="001356F1">
              <w:t xml:space="preserve">Councillor </w:t>
            </w:r>
            <w:r>
              <w:rPr>
                <w:rFonts w:cs="Arial"/>
                <w:bCs/>
              </w:rPr>
              <w:t>Alex Hollingsworth</w:t>
            </w:r>
            <w:r w:rsidRPr="001356F1">
              <w:t xml:space="preserve">, </w:t>
            </w:r>
            <w:r w:rsidRPr="00707449">
              <w:t>Planning and Regulatory Services</w:t>
            </w:r>
          </w:p>
        </w:tc>
      </w:tr>
      <w:tr w:rsidR="00A1335E" w:rsidTr="00254345">
        <w:tc>
          <w:tcPr>
            <w:tcW w:w="2438" w:type="dxa"/>
            <w:gridSpan w:val="2"/>
            <w:tcBorders>
              <w:top w:val="nil"/>
              <w:left w:val="single" w:sz="8" w:space="0" w:color="000000"/>
              <w:bottom w:val="nil"/>
              <w:right w:val="nil"/>
            </w:tcBorders>
          </w:tcPr>
          <w:p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35E" w:rsidRDefault="00A1335E" w:rsidP="00254345">
            <w:pPr>
              <w:spacing w:after="0"/>
              <w:contextualSpacing/>
            </w:pPr>
            <w:r>
              <w:t>A Vibrant and Sustainable Economy</w:t>
            </w:r>
          </w:p>
          <w:p w:rsidR="00A1335E" w:rsidRDefault="00A1335E" w:rsidP="00254345">
            <w:pPr>
              <w:spacing w:after="0"/>
              <w:contextualSpacing/>
            </w:pPr>
            <w:r>
              <w:t>Meeting Housing Needs</w:t>
            </w:r>
          </w:p>
          <w:p w:rsidR="00A1335E" w:rsidRDefault="00A1335E" w:rsidP="00254345">
            <w:pPr>
              <w:spacing w:after="0"/>
              <w:contextualSpacing/>
            </w:pPr>
            <w:r>
              <w:t>Strong and Active Communities</w:t>
            </w:r>
          </w:p>
          <w:p w:rsidR="00A1335E" w:rsidRDefault="00A1335E" w:rsidP="00254345">
            <w:pPr>
              <w:spacing w:after="0"/>
              <w:contextualSpacing/>
            </w:pPr>
            <w:r>
              <w:t>A Clean and Green Oxford</w:t>
            </w:r>
          </w:p>
          <w:p w:rsidR="00A1335E" w:rsidRPr="001356F1" w:rsidRDefault="00A1335E" w:rsidP="00254345">
            <w:r>
              <w:t xml:space="preserve">An Efficient and Effective Council </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35E" w:rsidRPr="001356F1" w:rsidRDefault="001F7EBA" w:rsidP="001F08CE">
            <w:r>
              <w:t>Corporate Plan 2016-2020</w:t>
            </w:r>
            <w:r w:rsidR="001A4E13">
              <w:t xml:space="preserve"> </w:t>
            </w:r>
          </w:p>
        </w:tc>
      </w:tr>
      <w:tr w:rsidR="00A1335E" w:rsidRPr="00975B07" w:rsidTr="00254345">
        <w:trPr>
          <w:trHeight w:val="413"/>
        </w:trPr>
        <w:tc>
          <w:tcPr>
            <w:tcW w:w="8845" w:type="dxa"/>
            <w:gridSpan w:val="3"/>
            <w:tcBorders>
              <w:bottom w:val="single" w:sz="8" w:space="0" w:color="000000"/>
            </w:tcBorders>
          </w:tcPr>
          <w:p w:rsidR="00A1335E" w:rsidRPr="00975B07" w:rsidRDefault="009B0970" w:rsidP="009B0970">
            <w:r>
              <w:rPr>
                <w:rStyle w:val="Firstpagetablebold"/>
              </w:rPr>
              <w:t>Recommendation</w:t>
            </w:r>
            <w:r w:rsidR="00A1335E">
              <w:rPr>
                <w:rStyle w:val="Firstpagetablebold"/>
              </w:rPr>
              <w:t>s:</w:t>
            </w:r>
            <w:r w:rsidR="001F7EBA">
              <w:rPr>
                <w:rStyle w:val="Firstpagetablebold"/>
              </w:rPr>
              <w:t xml:space="preserve"> </w:t>
            </w:r>
            <w:r>
              <w:rPr>
                <w:rStyle w:val="Firstpagetablebold"/>
                <w:b w:val="0"/>
              </w:rPr>
              <w:t xml:space="preserve">That </w:t>
            </w:r>
            <w:r w:rsidR="00A1335E" w:rsidRPr="009B0970">
              <w:rPr>
                <w:rStyle w:val="Firstpagetablebold"/>
                <w:b w:val="0"/>
              </w:rPr>
              <w:t>C</w:t>
            </w:r>
            <w:r w:rsidR="002939A9" w:rsidRPr="009B0970">
              <w:rPr>
                <w:rStyle w:val="Firstpagetablebold"/>
                <w:b w:val="0"/>
              </w:rPr>
              <w:t xml:space="preserve">abinet </w:t>
            </w:r>
            <w:r w:rsidR="00A1335E" w:rsidRPr="009B0970">
              <w:rPr>
                <w:rStyle w:val="Firstpagetablebold"/>
                <w:b w:val="0"/>
              </w:rPr>
              <w:t>resolves to:</w:t>
            </w:r>
          </w:p>
        </w:tc>
      </w:tr>
      <w:tr w:rsidR="00A1335E" w:rsidRPr="00975B07" w:rsidTr="00254345">
        <w:trPr>
          <w:trHeight w:val="283"/>
        </w:trPr>
        <w:tc>
          <w:tcPr>
            <w:tcW w:w="426" w:type="dxa"/>
            <w:tcBorders>
              <w:top w:val="single" w:sz="8" w:space="0" w:color="000000"/>
              <w:left w:val="single" w:sz="8" w:space="0" w:color="000000"/>
              <w:bottom w:val="nil"/>
              <w:right w:val="nil"/>
            </w:tcBorders>
          </w:tcPr>
          <w:p w:rsidR="00A1335E" w:rsidRPr="00975B07" w:rsidRDefault="00A1335E" w:rsidP="00254345">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A1335E" w:rsidRPr="001356F1" w:rsidRDefault="00D023C4" w:rsidP="00DF23C6">
            <w:r>
              <w:rPr>
                <w:rStyle w:val="Firstpagetablebold"/>
              </w:rPr>
              <w:t>Withdraw</w:t>
            </w:r>
            <w:r w:rsidR="00A1335E" w:rsidRPr="00707449">
              <w:rPr>
                <w:rStyle w:val="Firstpagetablebold"/>
                <w:b w:val="0"/>
              </w:rPr>
              <w:t xml:space="preserve"> </w:t>
            </w:r>
            <w:r>
              <w:rPr>
                <w:rStyle w:val="Firstpagetablebold"/>
                <w:b w:val="0"/>
              </w:rPr>
              <w:t>the CIL Charging Schedule review from examination</w:t>
            </w:r>
            <w:r w:rsidR="005D6384">
              <w:rPr>
                <w:rStyle w:val="Firstpagetablebold"/>
                <w:b w:val="0"/>
              </w:rPr>
              <w:t xml:space="preserve">; and </w:t>
            </w:r>
          </w:p>
        </w:tc>
      </w:tr>
      <w:tr w:rsidR="00A1335E" w:rsidRPr="00975B07" w:rsidTr="00254345">
        <w:trPr>
          <w:trHeight w:val="283"/>
        </w:trPr>
        <w:tc>
          <w:tcPr>
            <w:tcW w:w="426" w:type="dxa"/>
            <w:tcBorders>
              <w:top w:val="nil"/>
              <w:left w:val="single" w:sz="8" w:space="0" w:color="000000"/>
              <w:bottom w:val="single" w:sz="8" w:space="0" w:color="000000"/>
              <w:right w:val="nil"/>
            </w:tcBorders>
          </w:tcPr>
          <w:p w:rsidR="00A1335E" w:rsidRPr="00975B07" w:rsidRDefault="00A1335E" w:rsidP="00254345">
            <w:r w:rsidRPr="00975B07">
              <w:t>2.</w:t>
            </w:r>
          </w:p>
        </w:tc>
        <w:tc>
          <w:tcPr>
            <w:tcW w:w="8419" w:type="dxa"/>
            <w:gridSpan w:val="2"/>
            <w:tcBorders>
              <w:top w:val="nil"/>
              <w:left w:val="nil"/>
              <w:bottom w:val="single" w:sz="8" w:space="0" w:color="000000"/>
              <w:right w:val="single" w:sz="8" w:space="0" w:color="000000"/>
            </w:tcBorders>
            <w:shd w:val="clear" w:color="auto" w:fill="auto"/>
          </w:tcPr>
          <w:p w:rsidR="00D023C4" w:rsidRPr="001356F1" w:rsidRDefault="00D023C4" w:rsidP="00DF23C6">
            <w:r>
              <w:rPr>
                <w:rStyle w:val="Firstpagetablebold"/>
              </w:rPr>
              <w:t>Continue</w:t>
            </w:r>
            <w:r w:rsidR="00A1335E" w:rsidRPr="00707449">
              <w:rPr>
                <w:rStyle w:val="Firstpagetablebold"/>
                <w:b w:val="0"/>
              </w:rPr>
              <w:t xml:space="preserve"> </w:t>
            </w:r>
            <w:r>
              <w:rPr>
                <w:rStyle w:val="Firstpagetablebold"/>
                <w:b w:val="0"/>
              </w:rPr>
              <w:t>to apply the existing CIL Charging Schedule whilst the process to review it is re-started</w:t>
            </w:r>
            <w:r w:rsidR="00DF23C6">
              <w:rPr>
                <w:rStyle w:val="Firstpagetablebold"/>
                <w:b w:val="0"/>
              </w:rPr>
              <w:t xml:space="preserve"> in the context of the CIL Regulations as updated in September 2019</w:t>
            </w:r>
            <w:r>
              <w:rPr>
                <w:rStyle w:val="Firstpagetablebold"/>
                <w:b w:val="0"/>
              </w:rPr>
              <w:t>.</w:t>
            </w:r>
          </w:p>
        </w:tc>
      </w:tr>
      <w:bookmarkEnd w:id="0"/>
    </w:tbl>
    <w:p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A1335E" w:rsidRPr="00975B07" w:rsidRDefault="00A1335E" w:rsidP="00254345">
            <w:pPr>
              <w:jc w:val="center"/>
            </w:pPr>
            <w:r w:rsidRPr="00745BF0">
              <w:rPr>
                <w:rStyle w:val="Firstpagetablebold"/>
              </w:rPr>
              <w:t>Appendices</w:t>
            </w:r>
          </w:p>
        </w:tc>
      </w:tr>
      <w:tr w:rsidR="00A1335E" w:rsidRPr="00975B07" w:rsidTr="00254345">
        <w:tc>
          <w:tcPr>
            <w:tcW w:w="2438" w:type="dxa"/>
            <w:tcBorders>
              <w:top w:val="single" w:sz="8" w:space="0" w:color="000000"/>
              <w:left w:val="single" w:sz="8" w:space="0" w:color="000000"/>
              <w:bottom w:val="nil"/>
              <w:right w:val="nil"/>
            </w:tcBorders>
            <w:shd w:val="clear" w:color="auto" w:fill="auto"/>
          </w:tcPr>
          <w:p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rsidR="003842D1" w:rsidRPr="003842D1" w:rsidRDefault="00D023C4" w:rsidP="002939A9">
            <w:pPr>
              <w:rPr>
                <w:rFonts w:cs="Arial"/>
              </w:rPr>
            </w:pPr>
            <w:r>
              <w:rPr>
                <w:rFonts w:cs="Arial"/>
              </w:rPr>
              <w:t>Risk Assessment</w:t>
            </w:r>
          </w:p>
        </w:tc>
      </w:tr>
      <w:tr w:rsidR="00A1335E" w:rsidRPr="00975B07" w:rsidTr="00254345">
        <w:tc>
          <w:tcPr>
            <w:tcW w:w="2438" w:type="dxa"/>
            <w:tcBorders>
              <w:top w:val="nil"/>
              <w:left w:val="single" w:sz="8" w:space="0" w:color="000000"/>
              <w:bottom w:val="single" w:sz="8" w:space="0" w:color="000000"/>
              <w:right w:val="nil"/>
            </w:tcBorders>
            <w:shd w:val="clear" w:color="auto" w:fill="auto"/>
          </w:tcPr>
          <w:p w:rsidR="00A1335E" w:rsidRDefault="00A1335E" w:rsidP="00254345">
            <w:r w:rsidRPr="00975B07">
              <w:t>Appendix 2</w:t>
            </w:r>
          </w:p>
          <w:p w:rsidR="003842D1" w:rsidRPr="00975B07" w:rsidRDefault="003842D1" w:rsidP="00254345">
            <w:r>
              <w:t>Appendix 3</w:t>
            </w:r>
          </w:p>
        </w:tc>
        <w:tc>
          <w:tcPr>
            <w:tcW w:w="6406" w:type="dxa"/>
            <w:tcBorders>
              <w:top w:val="nil"/>
              <w:left w:val="nil"/>
              <w:bottom w:val="single" w:sz="8" w:space="0" w:color="000000"/>
              <w:right w:val="single" w:sz="8" w:space="0" w:color="000000"/>
            </w:tcBorders>
          </w:tcPr>
          <w:p w:rsidR="003842D1" w:rsidRPr="002D172B" w:rsidRDefault="003842D1" w:rsidP="003842D1">
            <w:pPr>
              <w:rPr>
                <w:color w:val="auto"/>
              </w:rPr>
            </w:pPr>
            <w:r w:rsidRPr="002D172B">
              <w:rPr>
                <w:color w:val="auto"/>
              </w:rPr>
              <w:t xml:space="preserve">Cabinet Report </w:t>
            </w:r>
            <w:r w:rsidR="00800D6A" w:rsidRPr="002D172B">
              <w:rPr>
                <w:color w:val="auto"/>
              </w:rPr>
              <w:t xml:space="preserve">29 </w:t>
            </w:r>
            <w:r w:rsidRPr="002D172B">
              <w:rPr>
                <w:color w:val="auto"/>
              </w:rPr>
              <w:t>May</w:t>
            </w:r>
            <w:r w:rsidR="00800D6A" w:rsidRPr="002D172B">
              <w:rPr>
                <w:color w:val="auto"/>
              </w:rPr>
              <w:t xml:space="preserve"> 2019</w:t>
            </w:r>
          </w:p>
          <w:p w:rsidR="00A1335E" w:rsidRPr="00CA12E5" w:rsidRDefault="003842D1" w:rsidP="003842D1">
            <w:r w:rsidRPr="002D172B">
              <w:rPr>
                <w:color w:val="auto"/>
              </w:rPr>
              <w:t>Response to initial Examiner</w:t>
            </w:r>
            <w:r w:rsidR="001F08CE">
              <w:rPr>
                <w:color w:val="auto"/>
              </w:rPr>
              <w:t>’s</w:t>
            </w:r>
            <w:r w:rsidRPr="002D172B">
              <w:rPr>
                <w:color w:val="auto"/>
              </w:rPr>
              <w:t xml:space="preserve"> Questions</w:t>
            </w:r>
          </w:p>
        </w:tc>
      </w:tr>
    </w:tbl>
    <w:p w:rsidR="00267EF3" w:rsidRPr="00267EF3" w:rsidRDefault="00267EF3" w:rsidP="00267EF3"/>
    <w:p w:rsidR="00A1335E" w:rsidRPr="001356F1" w:rsidRDefault="00A1335E" w:rsidP="00A1335E">
      <w:pPr>
        <w:pStyle w:val="Heading1"/>
        <w:jc w:val="both"/>
      </w:pPr>
      <w:r w:rsidRPr="001356F1">
        <w:t xml:space="preserve">Introduction and background </w:t>
      </w:r>
    </w:p>
    <w:p w:rsidR="0074240F" w:rsidRPr="0074240F" w:rsidRDefault="00A1335E" w:rsidP="001F7EBA">
      <w:pPr>
        <w:pStyle w:val="ListParagraph"/>
        <w:jc w:val="both"/>
      </w:pPr>
      <w:r>
        <w:t xml:space="preserve">The </w:t>
      </w:r>
      <w:r w:rsidR="00A545CD">
        <w:t xml:space="preserve">Community Infrastructure Levy (CIL) is a planning charge on new development to help the funding of infrastructure. The City Council is the </w:t>
      </w:r>
      <w:r w:rsidR="00B659BD">
        <w:t>charging authority for CIL in Oxford and the</w:t>
      </w:r>
      <w:r w:rsidR="00A545CD">
        <w:t xml:space="preserve"> levy is set in the CIL Charging Schedule</w:t>
      </w:r>
      <w:r w:rsidR="00B659BD">
        <w:t xml:space="preserve"> adopted on 21</w:t>
      </w:r>
      <w:r w:rsidR="00B659BD" w:rsidRPr="00EA328F">
        <w:rPr>
          <w:vertAlign w:val="superscript"/>
        </w:rPr>
        <w:t>st</w:t>
      </w:r>
      <w:r w:rsidR="00B659BD">
        <w:t xml:space="preserve"> October 2013</w:t>
      </w:r>
      <w:r w:rsidR="00A545CD">
        <w:t xml:space="preserve">. </w:t>
      </w:r>
      <w:r w:rsidR="006413F2" w:rsidRPr="00EA328F">
        <w:t xml:space="preserve">It </w:t>
      </w:r>
      <w:r w:rsidR="00B659BD">
        <w:t xml:space="preserve">sets the level of charge and the types of developments that are </w:t>
      </w:r>
      <w:r w:rsidR="00B659BD">
        <w:lastRenderedPageBreak/>
        <w:t>liable for CIL.</w:t>
      </w:r>
      <w:r w:rsidR="0074240F">
        <w:t xml:space="preserve"> The principle behind CIL is that most development has some impact on infrastructure and should contribute to the cost of providing or improving infrastructure.  </w:t>
      </w:r>
      <w:r w:rsidR="00B659BD">
        <w:t xml:space="preserve"> </w:t>
      </w:r>
      <w:r w:rsidR="002B4321">
        <w:t xml:space="preserve">The </w:t>
      </w:r>
      <w:r w:rsidR="00001A85">
        <w:t>Charging</w:t>
      </w:r>
      <w:r w:rsidR="002B4321">
        <w:t xml:space="preserve"> Schedule is informed by viability testing.</w:t>
      </w:r>
    </w:p>
    <w:p w:rsidR="00044576" w:rsidRDefault="009A524C" w:rsidP="001F7EBA">
      <w:pPr>
        <w:pStyle w:val="ListParagraph"/>
        <w:jc w:val="both"/>
      </w:pPr>
      <w:r>
        <w:t>At a Cabinet meeting on</w:t>
      </w:r>
      <w:r w:rsidR="00B659BD">
        <w:t xml:space="preserve"> </w:t>
      </w:r>
      <w:r w:rsidR="00006089">
        <w:t>23</w:t>
      </w:r>
      <w:r w:rsidR="00006089" w:rsidRPr="00EB72C8">
        <w:rPr>
          <w:vertAlign w:val="superscript"/>
        </w:rPr>
        <w:t>rd</w:t>
      </w:r>
      <w:r w:rsidR="00006089">
        <w:t xml:space="preserve"> January 2018 </w:t>
      </w:r>
      <w:r w:rsidR="00B659BD">
        <w:t xml:space="preserve">the City Council undertook to review the CIL Charging Schedule. A consultation </w:t>
      </w:r>
      <w:r w:rsidR="005E7FCB">
        <w:t xml:space="preserve">took place </w:t>
      </w:r>
      <w:r w:rsidR="00B659BD">
        <w:t>on the prelim</w:t>
      </w:r>
      <w:r w:rsidR="005E7FCB">
        <w:t xml:space="preserve">inary draft charging schedule beginning on </w:t>
      </w:r>
      <w:r w:rsidR="00006089">
        <w:t>2</w:t>
      </w:r>
      <w:r w:rsidR="00006089" w:rsidRPr="00EB72C8">
        <w:rPr>
          <w:vertAlign w:val="superscript"/>
        </w:rPr>
        <w:t>nd</w:t>
      </w:r>
      <w:r w:rsidR="00006089">
        <w:t xml:space="preserve"> October 2018</w:t>
      </w:r>
      <w:r>
        <w:t xml:space="preserve">, </w:t>
      </w:r>
      <w:r w:rsidR="005E7FCB">
        <w:t xml:space="preserve">and on the draft charging schedule beginning on </w:t>
      </w:r>
      <w:r w:rsidR="00006089">
        <w:t>1</w:t>
      </w:r>
      <w:r w:rsidR="00006089" w:rsidRPr="00EB72C8">
        <w:rPr>
          <w:vertAlign w:val="superscript"/>
        </w:rPr>
        <w:t>st</w:t>
      </w:r>
      <w:r w:rsidR="00006089">
        <w:t xml:space="preserve"> November 2018</w:t>
      </w:r>
      <w:r w:rsidR="005E7FCB">
        <w:t xml:space="preserve">. </w:t>
      </w:r>
      <w:r w:rsidR="006413F2">
        <w:t>Following agreement from Cabinet on 29</w:t>
      </w:r>
      <w:r w:rsidR="006413F2" w:rsidRPr="00EB72C8">
        <w:rPr>
          <w:vertAlign w:val="superscript"/>
        </w:rPr>
        <w:t>th</w:t>
      </w:r>
      <w:r w:rsidR="006413F2">
        <w:t xml:space="preserve"> May 2019 t</w:t>
      </w:r>
      <w:r w:rsidR="005E7FCB">
        <w:t xml:space="preserve">he Draft Charging Schedule was submitted to the Secretary of State on </w:t>
      </w:r>
      <w:r w:rsidR="003F206F">
        <w:t>3</w:t>
      </w:r>
      <w:r w:rsidR="003F206F" w:rsidRPr="00EB72C8">
        <w:rPr>
          <w:vertAlign w:val="superscript"/>
        </w:rPr>
        <w:t>rd</w:t>
      </w:r>
      <w:r w:rsidR="003F206F">
        <w:t xml:space="preserve"> June 2019</w:t>
      </w:r>
      <w:r w:rsidR="005E7FCB">
        <w:t>, which marks the start of the examination process. The hearing ha</w:t>
      </w:r>
      <w:r w:rsidR="002B4321">
        <w:t>d</w:t>
      </w:r>
      <w:r w:rsidR="005E7FCB">
        <w:t xml:space="preserve"> been scheduled to begin on 1</w:t>
      </w:r>
      <w:r w:rsidR="003F206F">
        <w:t>0</w:t>
      </w:r>
      <w:r w:rsidR="005E7FCB">
        <w:t xml:space="preserve">th March 2020 for 1 or 2 days, which follows on from the Local Plan </w:t>
      </w:r>
      <w:r w:rsidR="001F08CE">
        <w:t>Inquiry</w:t>
      </w:r>
      <w:r w:rsidR="005E7FCB">
        <w:t xml:space="preserve"> as is normal practice. </w:t>
      </w:r>
    </w:p>
    <w:p w:rsidR="00044576" w:rsidRDefault="00AC2F33" w:rsidP="001F7EBA">
      <w:pPr>
        <w:pStyle w:val="ListParagraph"/>
        <w:jc w:val="both"/>
      </w:pPr>
      <w:r>
        <w:t xml:space="preserve">It must be noted that during the </w:t>
      </w:r>
      <w:r w:rsidR="00566343">
        <w:t xml:space="preserve">period after consultation and submitting the review of the charging schedule for examination the CIL regulations had further amendments made to them (September 2019).  </w:t>
      </w:r>
      <w:r w:rsidR="00CB6C61">
        <w:t xml:space="preserve">Significant implications of these changes to the regulations were becoming clearer.  Internal discussions were taking place regarding the possibility of withdrawing from the examination. </w:t>
      </w:r>
      <w:r w:rsidR="00566343">
        <w:t xml:space="preserve"> </w:t>
      </w:r>
    </w:p>
    <w:p w:rsidR="00BE5E7B" w:rsidRDefault="005E7FCB" w:rsidP="001F7EBA">
      <w:pPr>
        <w:pStyle w:val="ListParagraph"/>
        <w:jc w:val="both"/>
      </w:pPr>
      <w:r>
        <w:t xml:space="preserve">An initial set of questions </w:t>
      </w:r>
      <w:r w:rsidR="001F08CE">
        <w:t xml:space="preserve">from the Examiner </w:t>
      </w:r>
      <w:r>
        <w:t xml:space="preserve">was sent to the Council on </w:t>
      </w:r>
      <w:r w:rsidR="003F206F">
        <w:t>8</w:t>
      </w:r>
      <w:r w:rsidR="003F206F" w:rsidRPr="00EB72C8">
        <w:rPr>
          <w:vertAlign w:val="superscript"/>
        </w:rPr>
        <w:t>th</w:t>
      </w:r>
      <w:r w:rsidR="003F206F">
        <w:t xml:space="preserve"> January 2020</w:t>
      </w:r>
      <w:r>
        <w:t xml:space="preserve"> and the City Council response is published on the website</w:t>
      </w:r>
      <w:r w:rsidR="00800D6A">
        <w:t xml:space="preserve"> (Appendix 3)</w:t>
      </w:r>
      <w:r>
        <w:t xml:space="preserve">. </w:t>
      </w:r>
      <w:r w:rsidR="001A4E13">
        <w:t xml:space="preserve">Responding to these questions, which are asked in the context of </w:t>
      </w:r>
      <w:r w:rsidR="009A524C">
        <w:t>the amended</w:t>
      </w:r>
      <w:r w:rsidR="001A4E13">
        <w:t xml:space="preserve"> CIL Regulations that came in to force after submission of the Schedule, prompted officers to </w:t>
      </w:r>
      <w:r w:rsidR="00CB6C61">
        <w:t xml:space="preserve">further </w:t>
      </w:r>
      <w:r w:rsidR="001A4E13">
        <w:t xml:space="preserve">consider </w:t>
      </w:r>
      <w:r w:rsidR="001F08CE">
        <w:t xml:space="preserve">that </w:t>
      </w:r>
      <w:r w:rsidR="001A4E13">
        <w:t xml:space="preserve">it would be </w:t>
      </w:r>
      <w:r w:rsidR="002B4321">
        <w:t xml:space="preserve">appropriate </w:t>
      </w:r>
      <w:r w:rsidR="001A4E13">
        <w:t xml:space="preserve">to withdraw from examination of the CIL Charging Schedule to allow time to reflect on the best approach in the context of the new regulations. </w:t>
      </w:r>
      <w:r w:rsidR="00800D6A">
        <w:t xml:space="preserve"> </w:t>
      </w:r>
      <w:r w:rsidR="00862E6F" w:rsidRPr="00F3558C">
        <w:t>The existing CIL Charging Schedule would remain in place and continue to be applied</w:t>
      </w:r>
      <w:r w:rsidR="00862E6F">
        <w:t xml:space="preserve"> during this period of reflection</w:t>
      </w:r>
      <w:r w:rsidR="00862E6F" w:rsidRPr="00F3558C">
        <w:t>.</w:t>
      </w:r>
    </w:p>
    <w:p w:rsidR="005D6E1B" w:rsidRDefault="004E195C" w:rsidP="001F7EBA">
      <w:pPr>
        <w:pStyle w:val="ListParagraph"/>
        <w:jc w:val="both"/>
      </w:pPr>
      <w:r>
        <w:t xml:space="preserve">Officers </w:t>
      </w:r>
      <w:r w:rsidR="00800D6A">
        <w:t xml:space="preserve">wrote to the </w:t>
      </w:r>
      <w:r w:rsidR="001F08CE">
        <w:t>E</w:t>
      </w:r>
      <w:r w:rsidR="00800D6A">
        <w:t>xaminer on 31</w:t>
      </w:r>
      <w:r w:rsidR="00800D6A" w:rsidRPr="00EA752A">
        <w:rPr>
          <w:vertAlign w:val="superscript"/>
        </w:rPr>
        <w:t>st</w:t>
      </w:r>
      <w:r w:rsidR="00800D6A">
        <w:t xml:space="preserve"> January 2020</w:t>
      </w:r>
      <w:r>
        <w:t>, following an initial call to the programme officer earlier that week. This letter explained t</w:t>
      </w:r>
      <w:r w:rsidR="00EA752A">
        <w:t>hat</w:t>
      </w:r>
      <w:r w:rsidR="00800D6A">
        <w:t xml:space="preserve"> officer</w:t>
      </w:r>
      <w:r w:rsidR="00EA752A">
        <w:t>s</w:t>
      </w:r>
      <w:r w:rsidR="00800D6A">
        <w:t xml:space="preserve"> </w:t>
      </w:r>
      <w:r w:rsidR="00EA752A">
        <w:t xml:space="preserve">were to take a report to Cabinet to </w:t>
      </w:r>
      <w:r w:rsidR="00800D6A">
        <w:t>recommend</w:t>
      </w:r>
      <w:r w:rsidR="00EA752A">
        <w:t xml:space="preserve"> withdrawal from the CIL examination</w:t>
      </w:r>
      <w:r w:rsidR="00800D6A">
        <w:t xml:space="preserve">. </w:t>
      </w:r>
      <w:r w:rsidR="00686AE9">
        <w:t xml:space="preserve"> On the 29</w:t>
      </w:r>
      <w:r w:rsidR="00686AE9" w:rsidRPr="005D18B6">
        <w:rPr>
          <w:vertAlign w:val="superscript"/>
        </w:rPr>
        <w:t>th</w:t>
      </w:r>
      <w:r w:rsidR="00686AE9">
        <w:t xml:space="preserve"> January 2020 the </w:t>
      </w:r>
      <w:r>
        <w:t xml:space="preserve">Examiner sent his formal </w:t>
      </w:r>
      <w:r w:rsidR="00C25708">
        <w:t>Matters, Issues and Questions</w:t>
      </w:r>
      <w:r>
        <w:t xml:space="preserve"> (MIQs), which would form the basis of matters to be discussed at the hearing session</w:t>
      </w:r>
      <w:r w:rsidR="00862E6F">
        <w:t>,</w:t>
      </w:r>
      <w:r w:rsidR="00C25708">
        <w:t xml:space="preserve"> </w:t>
      </w:r>
      <w:r w:rsidR="00800D6A">
        <w:t xml:space="preserve"> this was after </w:t>
      </w:r>
      <w:r w:rsidR="00CB6C61">
        <w:t xml:space="preserve">internal </w:t>
      </w:r>
      <w:r w:rsidR="00800D6A">
        <w:t xml:space="preserve">discussions </w:t>
      </w:r>
      <w:r>
        <w:t xml:space="preserve">had </w:t>
      </w:r>
      <w:r w:rsidR="00800D6A">
        <w:t xml:space="preserve">already </w:t>
      </w:r>
      <w:r>
        <w:t>taken</w:t>
      </w:r>
      <w:r w:rsidR="00800D6A">
        <w:t xml:space="preserve"> place regarding </w:t>
      </w:r>
      <w:r w:rsidR="00EA752A">
        <w:t>possible</w:t>
      </w:r>
      <w:r w:rsidR="002D172B">
        <w:t xml:space="preserve"> </w:t>
      </w:r>
      <w:r w:rsidR="00800D6A">
        <w:t xml:space="preserve">withdrawal </w:t>
      </w:r>
      <w:r w:rsidR="00BE5E7B">
        <w:t xml:space="preserve">from the CIL examination.   </w:t>
      </w:r>
    </w:p>
    <w:p w:rsidR="00A545CD" w:rsidRDefault="00BE5E7B" w:rsidP="001F7EBA">
      <w:pPr>
        <w:pStyle w:val="ListParagraph"/>
      </w:pPr>
      <w:r>
        <w:t xml:space="preserve">Officers requested </w:t>
      </w:r>
      <w:r w:rsidR="004E195C">
        <w:t xml:space="preserve">in their letter to the Examiner </w:t>
      </w:r>
      <w:r>
        <w:t xml:space="preserve">that the </w:t>
      </w:r>
      <w:r w:rsidR="00862E6F">
        <w:t>examination and associated hearing session</w:t>
      </w:r>
      <w:r w:rsidR="004E195C">
        <w:t xml:space="preserve"> </w:t>
      </w:r>
      <w:r>
        <w:t>(scheduled for 10</w:t>
      </w:r>
      <w:r w:rsidRPr="00C00BF7">
        <w:rPr>
          <w:vertAlign w:val="superscript"/>
        </w:rPr>
        <w:t>th</w:t>
      </w:r>
      <w:r>
        <w:t xml:space="preserve"> March) be postponed to allow time for Cabinet to consider this report</w:t>
      </w:r>
      <w:r w:rsidR="00601E0B">
        <w:t>,</w:t>
      </w:r>
      <w:r>
        <w:t xml:space="preserve"> </w:t>
      </w:r>
      <w:r w:rsidR="00601E0B">
        <w:t>T</w:t>
      </w:r>
      <w:r w:rsidR="00DC0B73">
        <w:t xml:space="preserve">he </w:t>
      </w:r>
      <w:r w:rsidR="00601E0B">
        <w:t>E</w:t>
      </w:r>
      <w:r w:rsidR="00DC0B73">
        <w:t xml:space="preserve">xaminer has agreed to postpone </w:t>
      </w:r>
      <w:r w:rsidR="00601E0B">
        <w:t xml:space="preserve">the </w:t>
      </w:r>
      <w:r w:rsidR="00A27275">
        <w:t>examination</w:t>
      </w:r>
      <w:r w:rsidR="00862E6F">
        <w:t xml:space="preserve"> </w:t>
      </w:r>
      <w:r w:rsidR="00DC0B73">
        <w:t>until 3</w:t>
      </w:r>
      <w:r w:rsidR="00DC0B73" w:rsidRPr="00C00BF7">
        <w:rPr>
          <w:vertAlign w:val="superscript"/>
        </w:rPr>
        <w:t>rd</w:t>
      </w:r>
      <w:r w:rsidR="00DC0B73">
        <w:t xml:space="preserve"> April 2020. </w:t>
      </w:r>
      <w:r w:rsidR="001F7EBA">
        <w:t xml:space="preserve"> </w:t>
      </w:r>
    </w:p>
    <w:p w:rsidR="001F7EBA" w:rsidRDefault="001F7EBA" w:rsidP="001F7EBA">
      <w:pPr>
        <w:pStyle w:val="ListParagraph"/>
        <w:numPr>
          <w:ilvl w:val="0"/>
          <w:numId w:val="0"/>
        </w:numPr>
        <w:spacing w:after="0"/>
        <w:ind w:left="357"/>
      </w:pPr>
    </w:p>
    <w:p w:rsidR="009962D9" w:rsidRPr="001F7EBA" w:rsidRDefault="00DF23C6" w:rsidP="00A1335E">
      <w:pPr>
        <w:pStyle w:val="ListParagraph"/>
        <w:numPr>
          <w:ilvl w:val="0"/>
          <w:numId w:val="0"/>
        </w:numPr>
        <w:tabs>
          <w:tab w:val="clear" w:pos="426"/>
          <w:tab w:val="left" w:pos="0"/>
        </w:tabs>
        <w:jc w:val="both"/>
        <w:rPr>
          <w:rFonts w:cs="Arial"/>
          <w:b/>
        </w:rPr>
      </w:pPr>
      <w:r>
        <w:rPr>
          <w:rFonts w:cs="Arial"/>
          <w:b/>
        </w:rPr>
        <w:t xml:space="preserve">Key considerations in withdrawal </w:t>
      </w:r>
      <w:r w:rsidR="00465C59">
        <w:rPr>
          <w:rFonts w:cs="Arial"/>
          <w:b/>
        </w:rPr>
        <w:t>of the CIL Char</w:t>
      </w:r>
      <w:r w:rsidR="00512C91">
        <w:rPr>
          <w:rFonts w:cs="Arial"/>
          <w:b/>
        </w:rPr>
        <w:t>ging Schedule Review from Examination</w:t>
      </w:r>
    </w:p>
    <w:p w:rsidR="004309AF" w:rsidRDefault="0020359A" w:rsidP="00A1335E">
      <w:pPr>
        <w:pStyle w:val="ListParagraph"/>
        <w:numPr>
          <w:ilvl w:val="0"/>
          <w:numId w:val="0"/>
        </w:numPr>
        <w:tabs>
          <w:tab w:val="clear" w:pos="426"/>
          <w:tab w:val="left" w:pos="0"/>
        </w:tabs>
        <w:jc w:val="both"/>
        <w:rPr>
          <w:rFonts w:cs="Arial"/>
          <w:u w:val="single"/>
        </w:rPr>
      </w:pPr>
      <w:r w:rsidRPr="0020359A">
        <w:rPr>
          <w:rFonts w:cs="Arial"/>
          <w:u w:val="single"/>
        </w:rPr>
        <w:t xml:space="preserve">Revision of the CIL Regulations </w:t>
      </w:r>
    </w:p>
    <w:p w:rsidR="00EA328F" w:rsidRPr="001F7EBA" w:rsidRDefault="004309AF" w:rsidP="001F7EBA">
      <w:pPr>
        <w:pStyle w:val="ListParagraph"/>
        <w:tabs>
          <w:tab w:val="clear" w:pos="426"/>
          <w:tab w:val="left" w:pos="0"/>
        </w:tabs>
        <w:jc w:val="both"/>
      </w:pPr>
      <w:r w:rsidRPr="005D6E1B">
        <w:t xml:space="preserve">Amended CIL regulations came into force in September 2019, subsequent to the submission of the CIL Charging Schedule to the Secretary of State for examination. Withdrawing this review from examination (under Regulation 18 of the CIL Regulations 2010 as amended) would allow the City Council time to take account of recent regulatory changes comprehensively, working with key stakeholders. </w:t>
      </w:r>
    </w:p>
    <w:p w:rsidR="00B51668" w:rsidRPr="001F7EBA" w:rsidRDefault="003037EB" w:rsidP="001F7EBA">
      <w:pPr>
        <w:pStyle w:val="ListParagraph"/>
        <w:jc w:val="both"/>
        <w:rPr>
          <w:rFonts w:cs="Arial"/>
          <w:sz w:val="10"/>
          <w:szCs w:val="10"/>
        </w:rPr>
      </w:pPr>
      <w:r w:rsidRPr="00EA328F">
        <w:rPr>
          <w:rFonts w:eastAsiaTheme="minorHAnsi" w:cs="Arial"/>
          <w:color w:val="auto"/>
          <w:lang w:eastAsia="en-US"/>
        </w:rPr>
        <w:t xml:space="preserve">The </w:t>
      </w:r>
      <w:r w:rsidR="004856F1" w:rsidRPr="00EA328F">
        <w:rPr>
          <w:rFonts w:eastAsiaTheme="minorHAnsi" w:cs="Arial"/>
          <w:color w:val="auto"/>
          <w:lang w:eastAsia="en-US"/>
        </w:rPr>
        <w:t>amendments</w:t>
      </w:r>
      <w:r w:rsidRPr="00EA328F">
        <w:rPr>
          <w:rFonts w:eastAsiaTheme="minorHAnsi" w:cs="Arial"/>
          <w:color w:val="auto"/>
          <w:lang w:eastAsia="en-US"/>
        </w:rPr>
        <w:t xml:space="preserve"> to the </w:t>
      </w:r>
      <w:r w:rsidR="002B4321">
        <w:rPr>
          <w:rFonts w:eastAsiaTheme="minorHAnsi" w:cs="Arial"/>
          <w:color w:val="auto"/>
          <w:lang w:eastAsia="en-US"/>
        </w:rPr>
        <w:t xml:space="preserve">former </w:t>
      </w:r>
      <w:r w:rsidRPr="00EA328F">
        <w:rPr>
          <w:rFonts w:eastAsiaTheme="minorHAnsi" w:cs="Arial"/>
          <w:color w:val="auto"/>
          <w:lang w:eastAsia="en-US"/>
        </w:rPr>
        <w:t>CIL regulations lift</w:t>
      </w:r>
      <w:r w:rsidR="002B4321">
        <w:rPr>
          <w:rFonts w:eastAsiaTheme="minorHAnsi" w:cs="Arial"/>
          <w:color w:val="auto"/>
          <w:lang w:eastAsia="en-US"/>
        </w:rPr>
        <w:t xml:space="preserve"> some of</w:t>
      </w:r>
      <w:r w:rsidR="00044576">
        <w:rPr>
          <w:rFonts w:eastAsiaTheme="minorHAnsi" w:cs="Arial"/>
          <w:color w:val="auto"/>
          <w:lang w:eastAsia="en-US"/>
        </w:rPr>
        <w:t xml:space="preserve"> </w:t>
      </w:r>
      <w:r w:rsidR="002B4321">
        <w:rPr>
          <w:rFonts w:eastAsiaTheme="minorHAnsi" w:cs="Arial"/>
          <w:color w:val="auto"/>
          <w:lang w:eastAsia="en-US"/>
        </w:rPr>
        <w:t xml:space="preserve">the </w:t>
      </w:r>
      <w:r w:rsidRPr="00EA328F">
        <w:rPr>
          <w:rFonts w:eastAsiaTheme="minorHAnsi" w:cs="Arial"/>
          <w:color w:val="auto"/>
          <w:lang w:eastAsia="en-US"/>
        </w:rPr>
        <w:t xml:space="preserve">previous restrictions relating to </w:t>
      </w:r>
      <w:r w:rsidR="002B4321">
        <w:rPr>
          <w:rFonts w:eastAsiaTheme="minorHAnsi" w:cs="Arial"/>
          <w:color w:val="auto"/>
          <w:lang w:eastAsia="en-US"/>
        </w:rPr>
        <w:t xml:space="preserve">the use of </w:t>
      </w:r>
      <w:r w:rsidR="009340A3">
        <w:rPr>
          <w:rFonts w:eastAsiaTheme="minorHAnsi" w:cs="Arial"/>
          <w:color w:val="auto"/>
          <w:lang w:eastAsia="en-US"/>
        </w:rPr>
        <w:t xml:space="preserve">section </w:t>
      </w:r>
      <w:r w:rsidRPr="00EA328F">
        <w:rPr>
          <w:rFonts w:eastAsiaTheme="minorHAnsi" w:cs="Arial"/>
          <w:color w:val="auto"/>
          <w:lang w:eastAsia="en-US"/>
        </w:rPr>
        <w:t xml:space="preserve">106 </w:t>
      </w:r>
      <w:r w:rsidR="009340A3">
        <w:rPr>
          <w:rFonts w:eastAsiaTheme="minorHAnsi" w:cs="Arial"/>
          <w:color w:val="auto"/>
          <w:lang w:eastAsia="en-US"/>
        </w:rPr>
        <w:t xml:space="preserve">of the Town and Country Planning Act 1990 (S106) </w:t>
      </w:r>
      <w:r w:rsidRPr="00EA328F">
        <w:rPr>
          <w:rFonts w:eastAsiaTheme="minorHAnsi" w:cs="Arial"/>
          <w:color w:val="auto"/>
          <w:lang w:eastAsia="en-US"/>
        </w:rPr>
        <w:t>that exist</w:t>
      </w:r>
      <w:r w:rsidR="001A4E13" w:rsidRPr="00EA328F">
        <w:rPr>
          <w:rFonts w:eastAsiaTheme="minorHAnsi" w:cs="Arial"/>
          <w:color w:val="auto"/>
          <w:lang w:eastAsia="en-US"/>
        </w:rPr>
        <w:t>ed</w:t>
      </w:r>
      <w:r w:rsidRPr="00EA328F">
        <w:rPr>
          <w:rFonts w:eastAsiaTheme="minorHAnsi" w:cs="Arial"/>
          <w:color w:val="auto"/>
          <w:lang w:eastAsia="en-US"/>
        </w:rPr>
        <w:t xml:space="preserve"> if CIL was in place. The revised regulations</w:t>
      </w:r>
      <w:r w:rsidR="00EA328F" w:rsidRPr="00EA328F">
        <w:rPr>
          <w:rFonts w:eastAsiaTheme="minorHAnsi" w:cs="Arial"/>
          <w:color w:val="auto"/>
          <w:lang w:eastAsia="en-US"/>
        </w:rPr>
        <w:t xml:space="preserve"> (</w:t>
      </w:r>
      <w:r w:rsidR="002B4321">
        <w:rPr>
          <w:rFonts w:eastAsiaTheme="minorHAnsi" w:cs="Arial"/>
          <w:color w:val="auto"/>
          <w:lang w:eastAsia="en-US"/>
        </w:rPr>
        <w:t xml:space="preserve">and in particular the </w:t>
      </w:r>
      <w:r w:rsidR="00EA328F" w:rsidRPr="00EA328F">
        <w:rPr>
          <w:rFonts w:eastAsiaTheme="minorHAnsi" w:cs="Arial"/>
          <w:color w:val="auto"/>
          <w:lang w:eastAsia="en-US"/>
        </w:rPr>
        <w:lastRenderedPageBreak/>
        <w:t>deletion of regulation 123)</w:t>
      </w:r>
      <w:r w:rsidRPr="00EA328F">
        <w:rPr>
          <w:rFonts w:eastAsiaTheme="minorHAnsi" w:cs="Arial"/>
          <w:color w:val="auto"/>
          <w:lang w:eastAsia="en-US"/>
        </w:rPr>
        <w:t xml:space="preserve"> now allow</w:t>
      </w:r>
      <w:r w:rsidR="009340A3">
        <w:rPr>
          <w:rFonts w:eastAsiaTheme="minorHAnsi" w:cs="Arial"/>
          <w:color w:val="auto"/>
          <w:lang w:eastAsia="en-US"/>
        </w:rPr>
        <w:t>s</w:t>
      </w:r>
      <w:r w:rsidRPr="00EA328F">
        <w:rPr>
          <w:rFonts w:eastAsiaTheme="minorHAnsi" w:cs="Arial"/>
          <w:color w:val="auto"/>
          <w:lang w:eastAsia="en-US"/>
        </w:rPr>
        <w:t xml:space="preserve"> local planning authorities to collect more than five contributions</w:t>
      </w:r>
      <w:r w:rsidR="002B4321">
        <w:rPr>
          <w:rFonts w:eastAsiaTheme="minorHAnsi" w:cs="Arial"/>
          <w:color w:val="auto"/>
          <w:lang w:eastAsia="en-US"/>
        </w:rPr>
        <w:t xml:space="preserve"> through planning obligations </w:t>
      </w:r>
      <w:r w:rsidRPr="00EA328F">
        <w:rPr>
          <w:rFonts w:eastAsiaTheme="minorHAnsi" w:cs="Arial"/>
          <w:color w:val="auto"/>
          <w:lang w:eastAsia="en-US"/>
        </w:rPr>
        <w:t>to fund the same infrastructure</w:t>
      </w:r>
      <w:r w:rsidR="002B4321">
        <w:rPr>
          <w:rFonts w:eastAsiaTheme="minorHAnsi" w:cs="Arial"/>
          <w:color w:val="auto"/>
          <w:lang w:eastAsia="en-US"/>
        </w:rPr>
        <w:t xml:space="preserve"> project or type of infrastructure</w:t>
      </w:r>
      <w:r w:rsidRPr="00EA328F">
        <w:rPr>
          <w:rFonts w:eastAsiaTheme="minorHAnsi" w:cs="Arial"/>
          <w:color w:val="auto"/>
          <w:lang w:eastAsia="en-US"/>
        </w:rPr>
        <w:t>.</w:t>
      </w:r>
      <w:r w:rsidR="00012C67">
        <w:rPr>
          <w:rFonts w:eastAsiaTheme="minorHAnsi" w:cs="Arial"/>
          <w:color w:val="auto"/>
          <w:lang w:eastAsia="en-US"/>
        </w:rPr>
        <w:t xml:space="preserve">  Prior to the amendment in the regulations local planning authorities could not use more than five S106 contributions to fund a single infrastructure project.</w:t>
      </w:r>
      <w:r w:rsidRPr="00EA328F">
        <w:rPr>
          <w:rFonts w:eastAsiaTheme="minorHAnsi" w:cs="Arial"/>
          <w:color w:val="auto"/>
          <w:lang w:eastAsia="en-US"/>
        </w:rPr>
        <w:t xml:space="preserve"> The</w:t>
      </w:r>
      <w:r w:rsidR="002B4321">
        <w:rPr>
          <w:rFonts w:eastAsiaTheme="minorHAnsi" w:cs="Arial"/>
          <w:color w:val="auto"/>
          <w:lang w:eastAsia="en-US"/>
        </w:rPr>
        <w:t xml:space="preserve"> revised regulations</w:t>
      </w:r>
      <w:r w:rsidRPr="00EA328F">
        <w:rPr>
          <w:rFonts w:eastAsiaTheme="minorHAnsi" w:cs="Arial"/>
          <w:color w:val="auto"/>
          <w:lang w:eastAsia="en-US"/>
        </w:rPr>
        <w:t xml:space="preserve"> also now allow contributions from CIL and S106</w:t>
      </w:r>
      <w:r w:rsidR="002B4321">
        <w:rPr>
          <w:rFonts w:eastAsiaTheme="minorHAnsi" w:cs="Arial"/>
          <w:color w:val="auto"/>
          <w:lang w:eastAsia="en-US"/>
        </w:rPr>
        <w:t xml:space="preserve"> planning obligations</w:t>
      </w:r>
      <w:r w:rsidRPr="00EA328F">
        <w:rPr>
          <w:rFonts w:eastAsiaTheme="minorHAnsi" w:cs="Arial"/>
          <w:color w:val="auto"/>
          <w:lang w:eastAsia="en-US"/>
        </w:rPr>
        <w:t xml:space="preserve"> to be used on the same piece of infrastructure</w:t>
      </w:r>
      <w:r w:rsidR="002B4321">
        <w:rPr>
          <w:rFonts w:eastAsiaTheme="minorHAnsi" w:cs="Arial"/>
          <w:color w:val="auto"/>
          <w:lang w:eastAsia="en-US"/>
        </w:rPr>
        <w:t xml:space="preserve"> or infrastructure type</w:t>
      </w:r>
      <w:r w:rsidRPr="00EA328F">
        <w:rPr>
          <w:rFonts w:eastAsiaTheme="minorHAnsi" w:cs="Arial"/>
          <w:color w:val="auto"/>
          <w:lang w:eastAsia="en-US"/>
        </w:rPr>
        <w:t>, which was not allowed previously</w:t>
      </w:r>
      <w:r w:rsidR="004856F1" w:rsidRPr="004856F1">
        <w:t xml:space="preserve"> </w:t>
      </w:r>
      <w:r w:rsidR="002B4321">
        <w:t xml:space="preserve">(where the infrastructure was identified </w:t>
      </w:r>
      <w:r w:rsidR="001F50AA">
        <w:t xml:space="preserve">by the charging authority to be funded or partly funded by CIL </w:t>
      </w:r>
      <w:r w:rsidR="002B4321">
        <w:t>on a list published under reg. 123)</w:t>
      </w:r>
      <w:r w:rsidR="00041297">
        <w:t xml:space="preserve">.  These revisions </w:t>
      </w:r>
      <w:r w:rsidR="004856F1" w:rsidRPr="00EA328F">
        <w:rPr>
          <w:rFonts w:eastAsiaTheme="minorHAnsi" w:cs="Arial"/>
          <w:color w:val="auto"/>
          <w:lang w:eastAsia="en-US"/>
        </w:rPr>
        <w:t xml:space="preserve">accordingly remove what can be a barrier to </w:t>
      </w:r>
      <w:r w:rsidR="006413F2">
        <w:rPr>
          <w:rFonts w:eastAsiaTheme="minorHAnsi" w:cs="Arial"/>
          <w:color w:val="auto"/>
          <w:lang w:eastAsia="en-US"/>
        </w:rPr>
        <w:t>delivery of infrastructure</w:t>
      </w:r>
      <w:r w:rsidR="00EA328F">
        <w:rPr>
          <w:rFonts w:eastAsiaTheme="minorHAnsi" w:cs="Arial"/>
          <w:color w:val="auto"/>
          <w:lang w:eastAsia="en-US"/>
        </w:rPr>
        <w:t>.</w:t>
      </w:r>
      <w:r w:rsidR="00B94685">
        <w:rPr>
          <w:rFonts w:eastAsiaTheme="minorHAnsi" w:cs="Arial"/>
          <w:color w:val="auto"/>
          <w:lang w:eastAsia="en-US"/>
        </w:rPr>
        <w:t xml:space="preserve"> This is pertinent in Oxford where </w:t>
      </w:r>
      <w:r w:rsidR="00B94685" w:rsidRPr="00DA4C4D">
        <w:t xml:space="preserve">multiple large developments </w:t>
      </w:r>
      <w:r w:rsidR="00B94685">
        <w:t xml:space="preserve">often </w:t>
      </w:r>
      <w:r w:rsidR="00B94685" w:rsidRPr="00DA4C4D">
        <w:t>directly relate to the same infrastructure project</w:t>
      </w:r>
      <w:r w:rsidR="004856F1" w:rsidRPr="00EA328F">
        <w:rPr>
          <w:rFonts w:eastAsiaTheme="minorHAnsi" w:cs="Arial"/>
          <w:color w:val="auto"/>
          <w:lang w:eastAsia="en-US"/>
        </w:rPr>
        <w:t xml:space="preserve"> </w:t>
      </w:r>
      <w:r w:rsidR="001F2A81" w:rsidRPr="00EA328F">
        <w:rPr>
          <w:rFonts w:eastAsiaTheme="minorHAnsi" w:cs="Arial"/>
          <w:color w:val="auto"/>
          <w:lang w:eastAsia="en-US"/>
        </w:rPr>
        <w:t xml:space="preserve"> </w:t>
      </w:r>
    </w:p>
    <w:p w:rsidR="003A46B1" w:rsidRPr="001F7EBA" w:rsidRDefault="00862E6F" w:rsidP="001F7EBA">
      <w:pPr>
        <w:pStyle w:val="ListParagraph"/>
        <w:jc w:val="both"/>
        <w:rPr>
          <w:rFonts w:eastAsiaTheme="minorHAnsi"/>
          <w:color w:val="auto"/>
          <w:lang w:eastAsia="en-US"/>
        </w:rPr>
      </w:pPr>
      <w:r>
        <w:rPr>
          <w:rFonts w:eastAsiaTheme="minorHAnsi" w:cs="Arial"/>
          <w:color w:val="auto"/>
          <w:lang w:eastAsia="en-US"/>
        </w:rPr>
        <w:t xml:space="preserve">For example, </w:t>
      </w:r>
      <w:r w:rsidR="00831ADA">
        <w:rPr>
          <w:rFonts w:eastAsiaTheme="minorHAnsi" w:cs="Arial"/>
          <w:color w:val="auto"/>
          <w:lang w:eastAsia="en-US"/>
        </w:rPr>
        <w:t>the changes in regulations present</w:t>
      </w:r>
      <w:r w:rsidR="003037EB" w:rsidRPr="00862E6F">
        <w:rPr>
          <w:rFonts w:eastAsiaTheme="minorHAnsi" w:cs="Arial"/>
          <w:color w:val="auto"/>
          <w:lang w:eastAsia="en-US"/>
        </w:rPr>
        <w:t xml:space="preserve"> different opportunities for the delivery of infrastructure projects</w:t>
      </w:r>
      <w:r w:rsidR="00B94685" w:rsidRPr="00862E6F">
        <w:rPr>
          <w:rFonts w:eastAsiaTheme="minorHAnsi" w:cs="Arial"/>
          <w:color w:val="auto"/>
          <w:lang w:eastAsia="en-US"/>
        </w:rPr>
        <w:t>, particularly those</w:t>
      </w:r>
      <w:r w:rsidR="00DF23C6" w:rsidRPr="00862E6F">
        <w:rPr>
          <w:rFonts w:eastAsiaTheme="minorHAnsi" w:cs="Arial"/>
          <w:color w:val="auto"/>
          <w:lang w:eastAsia="en-US"/>
        </w:rPr>
        <w:t xml:space="preserve"> </w:t>
      </w:r>
      <w:r w:rsidR="003037EB" w:rsidRPr="00862E6F">
        <w:rPr>
          <w:rFonts w:eastAsiaTheme="minorHAnsi" w:cs="Arial"/>
          <w:color w:val="auto"/>
          <w:lang w:eastAsia="en-US"/>
        </w:rPr>
        <w:t xml:space="preserve">needed to support </w:t>
      </w:r>
      <w:r w:rsidR="00B94685" w:rsidRPr="00862E6F">
        <w:rPr>
          <w:rFonts w:eastAsiaTheme="minorHAnsi" w:cs="Arial"/>
          <w:color w:val="auto"/>
          <w:lang w:eastAsia="en-US"/>
        </w:rPr>
        <w:t xml:space="preserve">larger </w:t>
      </w:r>
      <w:r w:rsidR="003037EB" w:rsidRPr="00862E6F">
        <w:rPr>
          <w:rFonts w:eastAsiaTheme="minorHAnsi" w:cs="Arial"/>
          <w:color w:val="auto"/>
          <w:lang w:eastAsia="en-US"/>
        </w:rPr>
        <w:t xml:space="preserve">developments. </w:t>
      </w:r>
      <w:r w:rsidR="00831ADA">
        <w:rPr>
          <w:rFonts w:eastAsiaTheme="minorHAnsi" w:cs="Arial"/>
          <w:color w:val="auto"/>
          <w:lang w:eastAsia="en-US"/>
        </w:rPr>
        <w:t>T</w:t>
      </w:r>
      <w:r w:rsidR="00B94685" w:rsidRPr="00862E6F">
        <w:rPr>
          <w:rFonts w:eastAsiaTheme="minorHAnsi" w:cs="Arial"/>
          <w:color w:val="auto"/>
          <w:lang w:eastAsia="en-US"/>
        </w:rPr>
        <w:t xml:space="preserve">he </w:t>
      </w:r>
      <w:r w:rsidR="00831ADA">
        <w:rPr>
          <w:rFonts w:eastAsiaTheme="minorHAnsi" w:cs="Arial"/>
          <w:color w:val="auto"/>
          <w:lang w:eastAsia="en-US"/>
        </w:rPr>
        <w:t xml:space="preserve">differing infrastructure needs of large sites </w:t>
      </w:r>
      <w:r w:rsidR="00B94685" w:rsidRPr="00862E6F">
        <w:rPr>
          <w:rFonts w:eastAsiaTheme="minorHAnsi" w:cs="Arial"/>
          <w:color w:val="auto"/>
          <w:lang w:eastAsia="en-US"/>
        </w:rPr>
        <w:t xml:space="preserve"> has been something that </w:t>
      </w:r>
      <w:r w:rsidR="00296DC1">
        <w:rPr>
          <w:rFonts w:eastAsiaTheme="minorHAnsi" w:cs="Arial"/>
          <w:color w:val="auto"/>
          <w:lang w:eastAsia="en-US"/>
        </w:rPr>
        <w:t>the Council has</w:t>
      </w:r>
      <w:r w:rsidR="00B94685" w:rsidRPr="00862E6F">
        <w:rPr>
          <w:rFonts w:eastAsiaTheme="minorHAnsi" w:cs="Arial"/>
          <w:color w:val="auto"/>
          <w:lang w:eastAsia="en-US"/>
        </w:rPr>
        <w:t xml:space="preserve"> been alert to when preparing the CIL review</w:t>
      </w:r>
      <w:r w:rsidR="00831ADA">
        <w:rPr>
          <w:rFonts w:eastAsiaTheme="minorHAnsi" w:cs="Arial"/>
          <w:color w:val="auto"/>
          <w:lang w:eastAsia="en-US"/>
        </w:rPr>
        <w:t>,</w:t>
      </w:r>
      <w:r w:rsidR="00B94685" w:rsidRPr="00862E6F">
        <w:rPr>
          <w:rFonts w:eastAsiaTheme="minorHAnsi" w:cs="Arial"/>
          <w:color w:val="auto"/>
          <w:lang w:eastAsia="en-US"/>
        </w:rPr>
        <w:t xml:space="preserve"> as set out in the Cabinet paper from May 2019 and in the officer response to the Examiner’s initial questions. However, the limited information on site specific costs</w:t>
      </w:r>
      <w:r w:rsidR="00041297" w:rsidRPr="00862E6F">
        <w:rPr>
          <w:rFonts w:eastAsiaTheme="minorHAnsi" w:cs="Arial"/>
          <w:color w:val="auto"/>
          <w:lang w:eastAsia="en-US"/>
        </w:rPr>
        <w:t xml:space="preserve"> for these sites,</w:t>
      </w:r>
      <w:r w:rsidR="00B94685" w:rsidRPr="00862E6F">
        <w:rPr>
          <w:rFonts w:eastAsiaTheme="minorHAnsi" w:cs="Arial"/>
          <w:color w:val="auto"/>
          <w:lang w:eastAsia="en-US"/>
        </w:rPr>
        <w:t xml:space="preserve"> alongside the previous restrictions on use of S106</w:t>
      </w:r>
      <w:r w:rsidR="002B55D8">
        <w:rPr>
          <w:rFonts w:eastAsiaTheme="minorHAnsi" w:cs="Arial"/>
          <w:color w:val="auto"/>
          <w:lang w:eastAsia="en-US"/>
        </w:rPr>
        <w:t xml:space="preserve"> planning obligations</w:t>
      </w:r>
      <w:r w:rsidR="00B94685" w:rsidRPr="00862E6F">
        <w:rPr>
          <w:rFonts w:eastAsiaTheme="minorHAnsi" w:cs="Arial"/>
          <w:color w:val="auto"/>
          <w:lang w:eastAsia="en-US"/>
        </w:rPr>
        <w:t xml:space="preserve"> </w:t>
      </w:r>
      <w:r w:rsidR="00041297" w:rsidRPr="00862E6F">
        <w:rPr>
          <w:rFonts w:eastAsiaTheme="minorHAnsi" w:cs="Arial"/>
          <w:color w:val="auto"/>
          <w:lang w:eastAsia="en-US"/>
        </w:rPr>
        <w:t xml:space="preserve">under the previous regulations, </w:t>
      </w:r>
      <w:r w:rsidR="00B94685" w:rsidRPr="00862E6F">
        <w:rPr>
          <w:rFonts w:eastAsiaTheme="minorHAnsi" w:cs="Arial"/>
          <w:color w:val="auto"/>
          <w:lang w:eastAsia="en-US"/>
        </w:rPr>
        <w:t xml:space="preserve">acted as a constraint on what could be justified </w:t>
      </w:r>
      <w:r w:rsidR="00041297" w:rsidRPr="00862E6F">
        <w:rPr>
          <w:rFonts w:eastAsiaTheme="minorHAnsi" w:cs="Arial"/>
          <w:color w:val="auto"/>
          <w:lang w:eastAsia="en-US"/>
        </w:rPr>
        <w:t>in terms of how the larger sites were provided for in the revised CIL schedule</w:t>
      </w:r>
      <w:r w:rsidR="00A27275">
        <w:rPr>
          <w:rFonts w:eastAsiaTheme="minorHAnsi" w:cs="Arial"/>
          <w:color w:val="auto"/>
          <w:lang w:eastAsia="en-US"/>
        </w:rPr>
        <w:t xml:space="preserve">.  </w:t>
      </w:r>
      <w:r w:rsidR="00831ADA">
        <w:rPr>
          <w:rFonts w:eastAsiaTheme="minorHAnsi" w:cs="Arial"/>
          <w:color w:val="auto"/>
          <w:lang w:eastAsia="en-US"/>
        </w:rPr>
        <w:t>The amended CIL regulations provide a greater opportunity to explore different ways of funding infrastructure need from large sites.</w:t>
      </w:r>
    </w:p>
    <w:p w:rsidR="0020359A" w:rsidRDefault="003037EB" w:rsidP="009962D9">
      <w:pPr>
        <w:jc w:val="both"/>
        <w:rPr>
          <w:rFonts w:cs="Arial"/>
          <w:u w:val="single"/>
        </w:rPr>
      </w:pPr>
      <w:r w:rsidRPr="009962D9">
        <w:rPr>
          <w:rFonts w:eastAsiaTheme="minorHAnsi" w:cs="Arial"/>
          <w:color w:val="auto"/>
          <w:u w:val="single"/>
          <w:lang w:eastAsia="en-US"/>
        </w:rPr>
        <w:t>Options for the CIL draft Charging Schedule</w:t>
      </w:r>
      <w:r w:rsidR="0020359A" w:rsidRPr="009962D9">
        <w:rPr>
          <w:rFonts w:cs="Arial"/>
          <w:u w:val="single"/>
        </w:rPr>
        <w:t xml:space="preserve"> </w:t>
      </w:r>
      <w:r w:rsidR="001963C6">
        <w:rPr>
          <w:rFonts w:cs="Arial"/>
          <w:u w:val="single"/>
        </w:rPr>
        <w:t>review</w:t>
      </w:r>
    </w:p>
    <w:p w:rsidR="001963C6" w:rsidRPr="00691887" w:rsidRDefault="001963C6" w:rsidP="001963C6">
      <w:pPr>
        <w:pStyle w:val="ListParagraph"/>
        <w:jc w:val="both"/>
        <w:rPr>
          <w:rFonts w:cs="Arial"/>
          <w:sz w:val="10"/>
          <w:szCs w:val="10"/>
        </w:rPr>
      </w:pPr>
      <w:r>
        <w:rPr>
          <w:rFonts w:eastAsiaTheme="minorHAnsi" w:cs="Arial"/>
          <w:color w:val="auto"/>
          <w:lang w:eastAsia="en-US"/>
        </w:rPr>
        <w:t xml:space="preserve">Officers consider that the two realistic options are to continue with the examination or to withdraw from the examination to give time to re-consider the CIL Charging Schedule review. The pros and cons of both of these options are shown in the table below. Withdrawing from the examination is the recommended option. </w:t>
      </w:r>
    </w:p>
    <w:p w:rsidR="00691887" w:rsidRDefault="00691887" w:rsidP="00691887">
      <w:pPr>
        <w:jc w:val="both"/>
        <w:rPr>
          <w:rFonts w:cs="Arial"/>
          <w:sz w:val="10"/>
          <w:szCs w:val="10"/>
        </w:rPr>
      </w:pPr>
    </w:p>
    <w:p w:rsidR="00691887" w:rsidRPr="00691887" w:rsidRDefault="00691887" w:rsidP="00691887">
      <w:pPr>
        <w:jc w:val="both"/>
        <w:rPr>
          <w:rFonts w:cs="Arial"/>
          <w:sz w:val="10"/>
          <w:szCs w:val="10"/>
        </w:rPr>
      </w:pPr>
    </w:p>
    <w:p w:rsidR="001F7EBA" w:rsidRPr="00761175" w:rsidRDefault="001F7EBA" w:rsidP="001F7EBA">
      <w:pPr>
        <w:pStyle w:val="ListParagraph"/>
        <w:numPr>
          <w:ilvl w:val="0"/>
          <w:numId w:val="0"/>
        </w:numPr>
        <w:ind w:left="360"/>
        <w:jc w:val="both"/>
        <w:rPr>
          <w:rFonts w:cs="Arial"/>
          <w:sz w:val="10"/>
          <w:szCs w:val="10"/>
        </w:rPr>
      </w:pPr>
    </w:p>
    <w:tbl>
      <w:tblPr>
        <w:tblStyle w:val="TableGrid"/>
        <w:tblW w:w="0" w:type="auto"/>
        <w:tblLook w:val="04A0" w:firstRow="1" w:lastRow="0" w:firstColumn="1" w:lastColumn="0" w:noHBand="0" w:noVBand="1"/>
      </w:tblPr>
      <w:tblGrid>
        <w:gridCol w:w="3171"/>
        <w:gridCol w:w="3171"/>
        <w:gridCol w:w="3172"/>
      </w:tblGrid>
      <w:tr w:rsidR="001963C6" w:rsidRPr="004D4428" w:rsidTr="004309AF">
        <w:tc>
          <w:tcPr>
            <w:tcW w:w="3171" w:type="dxa"/>
          </w:tcPr>
          <w:p w:rsidR="001963C6" w:rsidRPr="004D4428" w:rsidRDefault="001963C6" w:rsidP="00F53D6B">
            <w:pPr>
              <w:jc w:val="both"/>
              <w:rPr>
                <w:rFonts w:cs="Arial"/>
                <w:b/>
                <w:sz w:val="22"/>
                <w:szCs w:val="22"/>
              </w:rPr>
            </w:pPr>
            <w:r w:rsidRPr="004D4428">
              <w:rPr>
                <w:rFonts w:cs="Arial"/>
                <w:b/>
                <w:sz w:val="22"/>
                <w:szCs w:val="22"/>
              </w:rPr>
              <w:t>Option</w:t>
            </w:r>
          </w:p>
        </w:tc>
        <w:tc>
          <w:tcPr>
            <w:tcW w:w="3171" w:type="dxa"/>
          </w:tcPr>
          <w:p w:rsidR="001963C6" w:rsidRPr="004D4428" w:rsidRDefault="001963C6" w:rsidP="00F53D6B">
            <w:pPr>
              <w:jc w:val="both"/>
              <w:rPr>
                <w:rFonts w:cs="Arial"/>
                <w:b/>
                <w:sz w:val="22"/>
                <w:szCs w:val="22"/>
              </w:rPr>
            </w:pPr>
            <w:r w:rsidRPr="004D4428">
              <w:rPr>
                <w:rFonts w:cs="Arial"/>
                <w:b/>
                <w:sz w:val="22"/>
                <w:szCs w:val="22"/>
              </w:rPr>
              <w:t>Pros</w:t>
            </w:r>
          </w:p>
        </w:tc>
        <w:tc>
          <w:tcPr>
            <w:tcW w:w="3172" w:type="dxa"/>
          </w:tcPr>
          <w:p w:rsidR="001963C6" w:rsidRPr="004D4428" w:rsidRDefault="001963C6" w:rsidP="00F53D6B">
            <w:pPr>
              <w:jc w:val="both"/>
              <w:rPr>
                <w:rFonts w:cs="Arial"/>
                <w:b/>
                <w:sz w:val="22"/>
                <w:szCs w:val="22"/>
              </w:rPr>
            </w:pPr>
            <w:r w:rsidRPr="004D4428">
              <w:rPr>
                <w:rFonts w:cs="Arial"/>
                <w:b/>
                <w:sz w:val="22"/>
                <w:szCs w:val="22"/>
              </w:rPr>
              <w:t>Cons</w:t>
            </w:r>
          </w:p>
        </w:tc>
      </w:tr>
      <w:tr w:rsidR="001963C6" w:rsidRPr="00EA752A" w:rsidTr="004309AF">
        <w:tc>
          <w:tcPr>
            <w:tcW w:w="3171" w:type="dxa"/>
          </w:tcPr>
          <w:p w:rsidR="001963C6" w:rsidRPr="00EA752A" w:rsidRDefault="001963C6" w:rsidP="001963C6">
            <w:pPr>
              <w:jc w:val="both"/>
              <w:rPr>
                <w:rFonts w:cs="Arial"/>
                <w:sz w:val="22"/>
                <w:szCs w:val="22"/>
              </w:rPr>
            </w:pPr>
            <w:r>
              <w:rPr>
                <w:rFonts w:cs="Arial"/>
                <w:sz w:val="22"/>
                <w:szCs w:val="22"/>
              </w:rPr>
              <w:t>Continue with examination on Revised CIL Charging Schedule</w:t>
            </w:r>
          </w:p>
        </w:tc>
        <w:tc>
          <w:tcPr>
            <w:tcW w:w="3171" w:type="dxa"/>
          </w:tcPr>
          <w:p w:rsidR="001963C6" w:rsidRDefault="001963C6" w:rsidP="00F53D6B">
            <w:pPr>
              <w:jc w:val="both"/>
              <w:rPr>
                <w:rFonts w:cs="Arial"/>
                <w:sz w:val="22"/>
                <w:szCs w:val="22"/>
              </w:rPr>
            </w:pPr>
            <w:r>
              <w:rPr>
                <w:rFonts w:cs="Arial"/>
                <w:sz w:val="22"/>
                <w:szCs w:val="22"/>
              </w:rPr>
              <w:t xml:space="preserve">A revised CIL </w:t>
            </w:r>
            <w:r w:rsidR="009340A3">
              <w:rPr>
                <w:rFonts w:cs="Arial"/>
                <w:sz w:val="22"/>
                <w:szCs w:val="22"/>
              </w:rPr>
              <w:t xml:space="preserve">will </w:t>
            </w:r>
            <w:r>
              <w:rPr>
                <w:rFonts w:cs="Arial"/>
                <w:sz w:val="22"/>
                <w:szCs w:val="22"/>
              </w:rPr>
              <w:t xml:space="preserve">be put in place </w:t>
            </w:r>
            <w:r w:rsidR="009340A3">
              <w:rPr>
                <w:rFonts w:cs="Arial"/>
                <w:sz w:val="22"/>
                <w:szCs w:val="22"/>
              </w:rPr>
              <w:t xml:space="preserve">more </w:t>
            </w:r>
            <w:r>
              <w:rPr>
                <w:rFonts w:cs="Arial"/>
                <w:sz w:val="22"/>
                <w:szCs w:val="22"/>
              </w:rPr>
              <w:t>quick</w:t>
            </w:r>
            <w:r w:rsidR="009340A3">
              <w:rPr>
                <w:rFonts w:cs="Arial"/>
                <w:sz w:val="22"/>
                <w:szCs w:val="22"/>
              </w:rPr>
              <w:t>ly</w:t>
            </w:r>
            <w:r>
              <w:rPr>
                <w:rFonts w:cs="Arial"/>
                <w:sz w:val="22"/>
                <w:szCs w:val="22"/>
              </w:rPr>
              <w:t>.</w:t>
            </w:r>
          </w:p>
          <w:p w:rsidR="001963C6" w:rsidRPr="00EA752A" w:rsidRDefault="001963C6" w:rsidP="00F53D6B">
            <w:pPr>
              <w:jc w:val="both"/>
              <w:rPr>
                <w:rFonts w:cs="Arial"/>
                <w:sz w:val="22"/>
                <w:szCs w:val="22"/>
              </w:rPr>
            </w:pPr>
          </w:p>
        </w:tc>
        <w:tc>
          <w:tcPr>
            <w:tcW w:w="3172" w:type="dxa"/>
          </w:tcPr>
          <w:p w:rsidR="009340A3" w:rsidRDefault="001963C6" w:rsidP="00F53D6B">
            <w:pPr>
              <w:jc w:val="both"/>
              <w:rPr>
                <w:rFonts w:cs="Arial"/>
                <w:sz w:val="22"/>
                <w:szCs w:val="22"/>
              </w:rPr>
            </w:pPr>
            <w:r>
              <w:rPr>
                <w:rFonts w:cs="Arial"/>
                <w:sz w:val="22"/>
                <w:szCs w:val="22"/>
              </w:rPr>
              <w:t xml:space="preserve">It would not allow time to comprehensively consider the implications of the new CIL regulations including </w:t>
            </w:r>
            <w:r w:rsidR="009340A3">
              <w:rPr>
                <w:rFonts w:cs="Arial"/>
                <w:sz w:val="22"/>
                <w:szCs w:val="22"/>
              </w:rPr>
              <w:t xml:space="preserve">the </w:t>
            </w:r>
          </w:p>
          <w:p w:rsidR="001963C6" w:rsidRDefault="001963C6" w:rsidP="00F53D6B">
            <w:pPr>
              <w:jc w:val="both"/>
              <w:rPr>
                <w:rFonts w:cs="Arial"/>
                <w:sz w:val="22"/>
                <w:szCs w:val="22"/>
              </w:rPr>
            </w:pPr>
            <w:proofErr w:type="gramStart"/>
            <w:r>
              <w:rPr>
                <w:rFonts w:cs="Arial"/>
                <w:sz w:val="22"/>
                <w:szCs w:val="22"/>
              </w:rPr>
              <w:t>remov</w:t>
            </w:r>
            <w:r w:rsidR="009340A3">
              <w:rPr>
                <w:rFonts w:cs="Arial"/>
                <w:sz w:val="22"/>
                <w:szCs w:val="22"/>
              </w:rPr>
              <w:t>al</w:t>
            </w:r>
            <w:proofErr w:type="gramEnd"/>
            <w:r>
              <w:rPr>
                <w:rFonts w:cs="Arial"/>
                <w:sz w:val="22"/>
                <w:szCs w:val="22"/>
              </w:rPr>
              <w:t xml:space="preserve"> of pooling restrictions on strategic schemes</w:t>
            </w:r>
            <w:r w:rsidR="00041297">
              <w:rPr>
                <w:rFonts w:cs="Arial"/>
                <w:sz w:val="22"/>
                <w:szCs w:val="22"/>
              </w:rPr>
              <w:t xml:space="preserve"> and thus the most appropriate way forward for Oxford in terms of funding infrastructure required to deliver development.</w:t>
            </w:r>
            <w:r>
              <w:rPr>
                <w:rFonts w:cs="Arial"/>
                <w:sz w:val="22"/>
                <w:szCs w:val="22"/>
              </w:rPr>
              <w:t xml:space="preserve"> </w:t>
            </w:r>
          </w:p>
          <w:p w:rsidR="001963C6" w:rsidRPr="00EA752A" w:rsidRDefault="00041297" w:rsidP="009340A3">
            <w:pPr>
              <w:jc w:val="both"/>
              <w:rPr>
                <w:rFonts w:cs="Arial"/>
                <w:sz w:val="22"/>
                <w:szCs w:val="22"/>
              </w:rPr>
            </w:pPr>
            <w:r>
              <w:rPr>
                <w:rFonts w:cs="Arial"/>
                <w:sz w:val="22"/>
                <w:szCs w:val="22"/>
              </w:rPr>
              <w:t>W</w:t>
            </w:r>
            <w:r w:rsidR="001963C6">
              <w:rPr>
                <w:rFonts w:cs="Arial"/>
                <w:sz w:val="22"/>
                <w:szCs w:val="22"/>
              </w:rPr>
              <w:t>ould not allow any changes to CIL rates with regard</w:t>
            </w:r>
            <w:r w:rsidR="009340A3">
              <w:rPr>
                <w:rFonts w:cs="Arial"/>
                <w:sz w:val="22"/>
                <w:szCs w:val="22"/>
              </w:rPr>
              <w:t xml:space="preserve"> to</w:t>
            </w:r>
            <w:r w:rsidR="001963C6">
              <w:rPr>
                <w:rFonts w:cs="Arial"/>
                <w:sz w:val="22"/>
                <w:szCs w:val="22"/>
              </w:rPr>
              <w:t xml:space="preserve"> small residential developments in light of the changes to the Local Plan that remove the requirement for them to contribute to affordable housing. </w:t>
            </w:r>
          </w:p>
        </w:tc>
      </w:tr>
      <w:tr w:rsidR="001963C6" w:rsidRPr="00EA752A" w:rsidTr="004309AF">
        <w:tc>
          <w:tcPr>
            <w:tcW w:w="3171" w:type="dxa"/>
          </w:tcPr>
          <w:p w:rsidR="001963C6" w:rsidRPr="00EA752A" w:rsidRDefault="001963C6" w:rsidP="00F53D6B">
            <w:pPr>
              <w:jc w:val="both"/>
              <w:rPr>
                <w:rFonts w:cs="Arial"/>
                <w:sz w:val="22"/>
                <w:szCs w:val="22"/>
              </w:rPr>
            </w:pPr>
            <w:r>
              <w:rPr>
                <w:rFonts w:cs="Arial"/>
                <w:sz w:val="22"/>
                <w:szCs w:val="22"/>
              </w:rPr>
              <w:lastRenderedPageBreak/>
              <w:t>Withdraw from examination and re-start review</w:t>
            </w:r>
          </w:p>
        </w:tc>
        <w:tc>
          <w:tcPr>
            <w:tcW w:w="3171" w:type="dxa"/>
          </w:tcPr>
          <w:p w:rsidR="001963C6" w:rsidRDefault="001963C6" w:rsidP="00F53D6B">
            <w:pPr>
              <w:jc w:val="both"/>
              <w:rPr>
                <w:rFonts w:cs="Arial"/>
                <w:sz w:val="22"/>
                <w:szCs w:val="22"/>
              </w:rPr>
            </w:pPr>
            <w:r>
              <w:rPr>
                <w:rFonts w:cs="Arial"/>
                <w:sz w:val="22"/>
                <w:szCs w:val="22"/>
              </w:rPr>
              <w:t>There would be time for proper consideration of the best way to deliver infrastructure schemes to support strategic sites</w:t>
            </w:r>
            <w:r w:rsidR="00041297">
              <w:rPr>
                <w:rFonts w:cs="Arial"/>
                <w:sz w:val="22"/>
                <w:szCs w:val="22"/>
              </w:rPr>
              <w:t xml:space="preserve"> and development generally</w:t>
            </w:r>
            <w:r>
              <w:rPr>
                <w:rFonts w:cs="Arial"/>
                <w:sz w:val="22"/>
                <w:szCs w:val="22"/>
              </w:rPr>
              <w:t xml:space="preserve"> in light of the amendments to the </w:t>
            </w:r>
            <w:r w:rsidRPr="007B7A82">
              <w:rPr>
                <w:rFonts w:cs="Arial"/>
                <w:sz w:val="22"/>
                <w:szCs w:val="22"/>
              </w:rPr>
              <w:t>Regulations</w:t>
            </w:r>
            <w:r>
              <w:rPr>
                <w:rFonts w:cs="Arial"/>
                <w:sz w:val="22"/>
                <w:szCs w:val="22"/>
              </w:rPr>
              <w:t xml:space="preserve">.  </w:t>
            </w:r>
          </w:p>
          <w:p w:rsidR="001963C6" w:rsidRDefault="001963C6" w:rsidP="00F53D6B">
            <w:pPr>
              <w:jc w:val="both"/>
              <w:rPr>
                <w:rFonts w:cs="Arial"/>
                <w:sz w:val="22"/>
                <w:szCs w:val="22"/>
              </w:rPr>
            </w:pPr>
            <w:r>
              <w:rPr>
                <w:rFonts w:cs="Arial"/>
                <w:sz w:val="22"/>
                <w:szCs w:val="22"/>
              </w:rPr>
              <w:t xml:space="preserve">It would </w:t>
            </w:r>
            <w:r w:rsidRPr="007B7A82">
              <w:rPr>
                <w:rFonts w:cs="Arial"/>
                <w:sz w:val="22"/>
                <w:szCs w:val="22"/>
              </w:rPr>
              <w:t>offer the opportunity to consider alternative approaches</w:t>
            </w:r>
            <w:r>
              <w:rPr>
                <w:rFonts w:cs="Arial"/>
                <w:sz w:val="22"/>
                <w:szCs w:val="22"/>
              </w:rPr>
              <w:t xml:space="preserve"> which would give</w:t>
            </w:r>
            <w:r w:rsidRPr="007B7A82">
              <w:rPr>
                <w:rFonts w:cs="Arial"/>
                <w:sz w:val="22"/>
                <w:szCs w:val="22"/>
              </w:rPr>
              <w:t xml:space="preserve"> more certainty to infrastructure </w:t>
            </w:r>
            <w:r>
              <w:rPr>
                <w:rFonts w:cs="Arial"/>
                <w:sz w:val="22"/>
                <w:szCs w:val="22"/>
              </w:rPr>
              <w:t>delivery</w:t>
            </w:r>
            <w:r w:rsidRPr="007B7A82">
              <w:rPr>
                <w:rFonts w:cs="Arial"/>
                <w:sz w:val="22"/>
                <w:szCs w:val="22"/>
              </w:rPr>
              <w:t xml:space="preserve">.  </w:t>
            </w:r>
          </w:p>
          <w:p w:rsidR="001963C6" w:rsidRPr="00EA752A" w:rsidRDefault="009340A3" w:rsidP="009340A3">
            <w:pPr>
              <w:jc w:val="both"/>
              <w:rPr>
                <w:rFonts w:cs="Arial"/>
                <w:sz w:val="22"/>
                <w:szCs w:val="22"/>
              </w:rPr>
            </w:pPr>
            <w:r>
              <w:rPr>
                <w:rFonts w:cs="Arial"/>
                <w:sz w:val="22"/>
                <w:szCs w:val="22"/>
              </w:rPr>
              <w:t>The a</w:t>
            </w:r>
            <w:r w:rsidR="001963C6">
              <w:rPr>
                <w:rFonts w:cs="Arial"/>
                <w:sz w:val="22"/>
                <w:szCs w:val="22"/>
              </w:rPr>
              <w:t xml:space="preserve">dopted CIL charging schedule </w:t>
            </w:r>
            <w:r>
              <w:rPr>
                <w:rFonts w:cs="Arial"/>
                <w:sz w:val="22"/>
                <w:szCs w:val="22"/>
              </w:rPr>
              <w:t xml:space="preserve">would remain </w:t>
            </w:r>
            <w:r w:rsidR="001963C6">
              <w:rPr>
                <w:rFonts w:cs="Arial"/>
                <w:sz w:val="22"/>
                <w:szCs w:val="22"/>
              </w:rPr>
              <w:t xml:space="preserve">in place so </w:t>
            </w:r>
            <w:r>
              <w:rPr>
                <w:rFonts w:cs="Arial"/>
                <w:sz w:val="22"/>
                <w:szCs w:val="22"/>
              </w:rPr>
              <w:t xml:space="preserve">there would be </w:t>
            </w:r>
            <w:r w:rsidR="001963C6">
              <w:rPr>
                <w:rFonts w:cs="Arial"/>
                <w:sz w:val="22"/>
                <w:szCs w:val="22"/>
              </w:rPr>
              <w:t xml:space="preserve">no impact as business as usual will continue in </w:t>
            </w:r>
            <w:r>
              <w:rPr>
                <w:rFonts w:cs="Arial"/>
                <w:sz w:val="22"/>
                <w:szCs w:val="22"/>
              </w:rPr>
              <w:t xml:space="preserve">the </w:t>
            </w:r>
            <w:r w:rsidR="001963C6">
              <w:rPr>
                <w:rFonts w:cs="Arial"/>
                <w:sz w:val="22"/>
                <w:szCs w:val="22"/>
              </w:rPr>
              <w:t xml:space="preserve">meantime. </w:t>
            </w:r>
          </w:p>
        </w:tc>
        <w:tc>
          <w:tcPr>
            <w:tcW w:w="3172" w:type="dxa"/>
          </w:tcPr>
          <w:p w:rsidR="001963C6" w:rsidRDefault="001963C6" w:rsidP="00F53D6B">
            <w:pPr>
              <w:jc w:val="both"/>
              <w:rPr>
                <w:rFonts w:cs="Arial"/>
                <w:sz w:val="22"/>
                <w:szCs w:val="22"/>
              </w:rPr>
            </w:pPr>
            <w:r>
              <w:rPr>
                <w:rFonts w:cs="Arial"/>
                <w:sz w:val="22"/>
                <w:szCs w:val="22"/>
              </w:rPr>
              <w:t xml:space="preserve">Further evidence on infrastructure and sites would need to be gathered and tested in </w:t>
            </w:r>
            <w:r w:rsidR="009340A3">
              <w:rPr>
                <w:rFonts w:cs="Arial"/>
                <w:sz w:val="22"/>
                <w:szCs w:val="22"/>
              </w:rPr>
              <w:t>th</w:t>
            </w:r>
            <w:r w:rsidR="004D4428">
              <w:rPr>
                <w:rFonts w:cs="Arial"/>
                <w:sz w:val="22"/>
                <w:szCs w:val="22"/>
              </w:rPr>
              <w:t>e context of the new regulations</w:t>
            </w:r>
            <w:r>
              <w:rPr>
                <w:rFonts w:cs="Arial"/>
                <w:sz w:val="22"/>
                <w:szCs w:val="22"/>
              </w:rPr>
              <w:t xml:space="preserve">. </w:t>
            </w:r>
          </w:p>
          <w:p w:rsidR="001963C6" w:rsidRPr="00EA752A" w:rsidRDefault="001963C6" w:rsidP="00041297">
            <w:pPr>
              <w:jc w:val="both"/>
              <w:rPr>
                <w:rFonts w:cs="Arial"/>
                <w:sz w:val="22"/>
                <w:szCs w:val="22"/>
              </w:rPr>
            </w:pPr>
            <w:r>
              <w:rPr>
                <w:rFonts w:cs="Arial"/>
                <w:sz w:val="22"/>
                <w:szCs w:val="22"/>
              </w:rPr>
              <w:t>Another period of consultation would be required</w:t>
            </w:r>
            <w:r w:rsidR="00041297">
              <w:rPr>
                <w:rFonts w:cs="Arial"/>
                <w:sz w:val="22"/>
                <w:szCs w:val="22"/>
              </w:rPr>
              <w:t xml:space="preserve"> </w:t>
            </w:r>
            <w:r w:rsidR="004309AF">
              <w:rPr>
                <w:rFonts w:cs="Arial"/>
                <w:sz w:val="22"/>
                <w:szCs w:val="22"/>
              </w:rPr>
              <w:t>i</w:t>
            </w:r>
            <w:r w:rsidR="00041297">
              <w:rPr>
                <w:rFonts w:cs="Arial"/>
                <w:sz w:val="22"/>
                <w:szCs w:val="22"/>
              </w:rPr>
              <w:t>n respect of a new revised charging schedule.</w:t>
            </w:r>
          </w:p>
        </w:tc>
      </w:tr>
    </w:tbl>
    <w:p w:rsidR="001963C6" w:rsidRDefault="001963C6" w:rsidP="004D4428">
      <w:pPr>
        <w:ind w:left="360" w:hanging="360"/>
        <w:jc w:val="both"/>
        <w:rPr>
          <w:rFonts w:eastAsiaTheme="minorHAnsi" w:cs="Arial"/>
          <w:color w:val="auto"/>
          <w:u w:val="single"/>
          <w:lang w:eastAsia="en-US"/>
        </w:rPr>
      </w:pPr>
    </w:p>
    <w:p w:rsidR="001963C6" w:rsidRPr="004D4428" w:rsidRDefault="001963C6" w:rsidP="004D4428">
      <w:pPr>
        <w:ind w:left="360" w:hanging="360"/>
        <w:jc w:val="both"/>
        <w:rPr>
          <w:rFonts w:eastAsiaTheme="minorHAnsi" w:cs="Arial"/>
          <w:color w:val="auto"/>
          <w:u w:val="single"/>
          <w:lang w:eastAsia="en-US"/>
        </w:rPr>
      </w:pPr>
      <w:r w:rsidRPr="004D4428">
        <w:rPr>
          <w:rFonts w:eastAsiaTheme="minorHAnsi" w:cs="Arial"/>
          <w:color w:val="auto"/>
          <w:u w:val="single"/>
          <w:lang w:eastAsia="en-US"/>
        </w:rPr>
        <w:t>Recommendation</w:t>
      </w:r>
    </w:p>
    <w:p w:rsidR="00761175" w:rsidRDefault="00761175" w:rsidP="001F7EBA">
      <w:pPr>
        <w:pStyle w:val="ListParagraph"/>
        <w:jc w:val="both"/>
        <w:rPr>
          <w:rFonts w:eastAsiaTheme="minorHAnsi" w:cs="Arial"/>
          <w:color w:val="auto"/>
          <w:lang w:eastAsia="en-US"/>
        </w:rPr>
      </w:pPr>
      <w:r w:rsidRPr="001963C6">
        <w:rPr>
          <w:rFonts w:eastAsiaTheme="minorHAnsi" w:cs="Arial"/>
          <w:color w:val="auto"/>
          <w:lang w:eastAsia="en-US"/>
        </w:rPr>
        <w:t>Cabinet is asked to consider the officer recommendation to withdraw the CIL Charging Schedule Review from Examination</w:t>
      </w:r>
      <w:r w:rsidR="00636420" w:rsidRPr="001963C6">
        <w:rPr>
          <w:rFonts w:eastAsiaTheme="minorHAnsi" w:cs="Arial"/>
          <w:color w:val="auto"/>
          <w:lang w:eastAsia="en-US"/>
        </w:rPr>
        <w:t>.</w:t>
      </w:r>
      <w:r w:rsidR="001963C6" w:rsidRPr="001963C6">
        <w:rPr>
          <w:rFonts w:eastAsiaTheme="minorHAnsi" w:cs="Arial"/>
          <w:color w:val="auto"/>
          <w:lang w:eastAsia="en-US"/>
        </w:rPr>
        <w:t xml:space="preserve"> The reason for this recommendation is </w:t>
      </w:r>
      <w:r w:rsidR="001963C6" w:rsidRPr="004D4428">
        <w:rPr>
          <w:rFonts w:eastAsiaTheme="minorHAnsi" w:cs="Arial"/>
          <w:color w:val="auto"/>
          <w:lang w:eastAsia="en-US"/>
        </w:rPr>
        <w:t>to allow time to take into account the</w:t>
      </w:r>
      <w:r w:rsidR="00041297">
        <w:rPr>
          <w:rFonts w:eastAsiaTheme="minorHAnsi" w:cs="Arial"/>
          <w:color w:val="auto"/>
          <w:lang w:eastAsia="en-US"/>
        </w:rPr>
        <w:t xml:space="preserve"> implications of the </w:t>
      </w:r>
      <w:r w:rsidR="001963C6" w:rsidRPr="004D4428">
        <w:rPr>
          <w:rFonts w:eastAsiaTheme="minorHAnsi" w:cs="Arial"/>
          <w:color w:val="auto"/>
          <w:lang w:eastAsia="en-US"/>
        </w:rPr>
        <w:t xml:space="preserve">revised CIL Regulations which is a material change in circumstances that occurred after </w:t>
      </w:r>
      <w:r w:rsidR="009340A3">
        <w:rPr>
          <w:rFonts w:eastAsiaTheme="minorHAnsi" w:cs="Arial"/>
          <w:color w:val="auto"/>
          <w:lang w:eastAsia="en-US"/>
        </w:rPr>
        <w:t xml:space="preserve">the </w:t>
      </w:r>
      <w:r w:rsidR="001963C6" w:rsidRPr="004D4428">
        <w:rPr>
          <w:rFonts w:eastAsiaTheme="minorHAnsi" w:cs="Arial"/>
          <w:color w:val="auto"/>
          <w:lang w:eastAsia="en-US"/>
        </w:rPr>
        <w:t>Draft Ch</w:t>
      </w:r>
      <w:r w:rsidR="001963C6">
        <w:rPr>
          <w:rFonts w:eastAsiaTheme="minorHAnsi" w:cs="Arial"/>
          <w:color w:val="auto"/>
          <w:lang w:eastAsia="en-US"/>
        </w:rPr>
        <w:t>a</w:t>
      </w:r>
      <w:r w:rsidR="001963C6" w:rsidRPr="001963C6">
        <w:rPr>
          <w:rFonts w:eastAsiaTheme="minorHAnsi" w:cs="Arial"/>
          <w:color w:val="auto"/>
          <w:lang w:eastAsia="en-US"/>
        </w:rPr>
        <w:t>rging Schedule was developed and submitted for examination.</w:t>
      </w:r>
      <w:r w:rsidR="001963C6">
        <w:rPr>
          <w:rFonts w:eastAsiaTheme="minorHAnsi" w:cs="Arial"/>
          <w:color w:val="auto"/>
          <w:lang w:eastAsia="en-US"/>
        </w:rPr>
        <w:t xml:space="preserve"> </w:t>
      </w:r>
    </w:p>
    <w:p w:rsidR="001F7EBA" w:rsidRPr="001F7EBA" w:rsidRDefault="001F7EBA" w:rsidP="001F7EBA">
      <w:pPr>
        <w:pStyle w:val="ListParagraph"/>
        <w:numPr>
          <w:ilvl w:val="0"/>
          <w:numId w:val="0"/>
        </w:numPr>
        <w:spacing w:after="0"/>
        <w:ind w:left="357"/>
        <w:jc w:val="both"/>
        <w:rPr>
          <w:rFonts w:eastAsiaTheme="minorHAnsi" w:cs="Arial"/>
          <w:color w:val="auto"/>
          <w:lang w:eastAsia="en-US"/>
        </w:rPr>
      </w:pPr>
    </w:p>
    <w:p w:rsidR="00A1335E" w:rsidRPr="00AB7B72" w:rsidRDefault="00A1335E" w:rsidP="00A1335E">
      <w:pPr>
        <w:pStyle w:val="ListParagraph"/>
        <w:numPr>
          <w:ilvl w:val="0"/>
          <w:numId w:val="0"/>
        </w:numPr>
        <w:ind w:left="425" w:hanging="425"/>
        <w:jc w:val="both"/>
        <w:rPr>
          <w:rFonts w:cs="Arial"/>
          <w:b/>
          <w:color w:val="auto"/>
        </w:rPr>
      </w:pPr>
      <w:r w:rsidRPr="00AB7B72">
        <w:rPr>
          <w:rFonts w:cs="Arial"/>
          <w:b/>
          <w:color w:val="auto"/>
        </w:rPr>
        <w:t>Environmental Impact</w:t>
      </w:r>
    </w:p>
    <w:p w:rsidR="001F7EBA" w:rsidRPr="001F7EBA" w:rsidRDefault="00A1335E" w:rsidP="001F7EBA">
      <w:pPr>
        <w:pStyle w:val="ListParagraph"/>
        <w:jc w:val="both"/>
        <w:rPr>
          <w:rFonts w:cs="Arial"/>
        </w:rPr>
      </w:pPr>
      <w:r w:rsidRPr="00AB7B72">
        <w:rPr>
          <w:rFonts w:cs="Arial"/>
          <w:color w:val="auto"/>
        </w:rPr>
        <w:t>There are no environmental implications arising from this report</w:t>
      </w:r>
      <w:r w:rsidR="003037EB">
        <w:rPr>
          <w:rFonts w:cs="Arial"/>
          <w:color w:val="auto"/>
        </w:rPr>
        <w:t>.</w:t>
      </w:r>
    </w:p>
    <w:p w:rsidR="001F7EBA" w:rsidRPr="001F7EBA" w:rsidRDefault="001F7EBA" w:rsidP="001F7EBA">
      <w:pPr>
        <w:pStyle w:val="ListParagraph"/>
        <w:numPr>
          <w:ilvl w:val="0"/>
          <w:numId w:val="0"/>
        </w:numPr>
        <w:spacing w:after="0"/>
        <w:ind w:left="357"/>
        <w:jc w:val="both"/>
        <w:rPr>
          <w:rFonts w:cs="Arial"/>
        </w:rPr>
      </w:pPr>
    </w:p>
    <w:p w:rsidR="00A1335E" w:rsidRPr="001356F1" w:rsidRDefault="00A1335E" w:rsidP="001F7EBA">
      <w:pPr>
        <w:pStyle w:val="Heading1"/>
        <w:spacing w:before="0"/>
        <w:jc w:val="both"/>
      </w:pPr>
      <w:r w:rsidRPr="001356F1">
        <w:t>Financial implications</w:t>
      </w:r>
    </w:p>
    <w:p w:rsidR="00B94685" w:rsidRPr="003842D1" w:rsidRDefault="004D4428" w:rsidP="00543E15">
      <w:pPr>
        <w:pStyle w:val="ListParagraph"/>
        <w:jc w:val="both"/>
      </w:pPr>
      <w:r>
        <w:t xml:space="preserve">There are limited financial implications from this report. Withdrawal of the CIL Charging Schedule review from </w:t>
      </w:r>
      <w:r w:rsidR="00095A37">
        <w:t>E</w:t>
      </w:r>
      <w:r>
        <w:t xml:space="preserve">xamination would negate the impending costs involved with the examination. The City Council will be liable for some payments to </w:t>
      </w:r>
      <w:r w:rsidR="00095A37">
        <w:t>the Planning Inspectorate</w:t>
      </w:r>
      <w:r>
        <w:t xml:space="preserve"> for the Examination, even after withdrawal of the schedule. </w:t>
      </w:r>
      <w:r w:rsidR="00095A37">
        <w:rPr>
          <w:rFonts w:cs="Arial"/>
          <w:color w:val="auto"/>
        </w:rPr>
        <w:t>It is</w:t>
      </w:r>
      <w:r w:rsidR="00B94685">
        <w:rPr>
          <w:rFonts w:cs="Arial"/>
          <w:color w:val="auto"/>
        </w:rPr>
        <w:t xml:space="preserve"> consider</w:t>
      </w:r>
      <w:r w:rsidR="00095A37">
        <w:rPr>
          <w:rFonts w:cs="Arial"/>
          <w:color w:val="auto"/>
        </w:rPr>
        <w:t>ed that</w:t>
      </w:r>
      <w:r w:rsidR="00B94685">
        <w:rPr>
          <w:rFonts w:cs="Arial"/>
          <w:color w:val="auto"/>
        </w:rPr>
        <w:t xml:space="preserve"> the benefits of taking account of the material change in national </w:t>
      </w:r>
      <w:r w:rsidR="00095A37">
        <w:rPr>
          <w:rFonts w:cs="Arial"/>
          <w:color w:val="auto"/>
        </w:rPr>
        <w:t>r</w:t>
      </w:r>
      <w:r w:rsidR="00B94685">
        <w:rPr>
          <w:rFonts w:cs="Arial"/>
          <w:color w:val="auto"/>
        </w:rPr>
        <w:t>egulations outweighs the minimal short term costs.</w:t>
      </w:r>
    </w:p>
    <w:p w:rsidR="00B94685" w:rsidRPr="00EA752A" w:rsidRDefault="003037EB" w:rsidP="00DF23C6">
      <w:pPr>
        <w:pStyle w:val="ListParagraph"/>
        <w:jc w:val="both"/>
      </w:pPr>
      <w:r w:rsidRPr="00B94685">
        <w:rPr>
          <w:rFonts w:cs="Arial"/>
          <w:color w:val="auto"/>
        </w:rPr>
        <w:t xml:space="preserve">The recommended approach involves continuing to apply the existing adopted CIL Charging Schedule, so there are no financial implications </w:t>
      </w:r>
      <w:r w:rsidR="00B94685" w:rsidRPr="00DF23C6">
        <w:rPr>
          <w:rFonts w:cs="Arial"/>
          <w:color w:val="auto"/>
        </w:rPr>
        <w:t xml:space="preserve">at this </w:t>
      </w:r>
      <w:r w:rsidR="00764E9B">
        <w:t xml:space="preserve"> as w</w:t>
      </w:r>
      <w:r w:rsidR="00543E15" w:rsidRPr="00543E15">
        <w:t xml:space="preserve">e have not forecast the new CIL for </w:t>
      </w:r>
      <w:r w:rsidR="00543E15">
        <w:t>expenditure in the capital programme a</w:t>
      </w:r>
      <w:r w:rsidR="00543E15" w:rsidRPr="00543E15">
        <w:t>nd all commitments are based on receipts to date and not reliant on any future money</w:t>
      </w:r>
      <w:r w:rsidR="00B94685">
        <w:t xml:space="preserve"> from a revised rate.</w:t>
      </w:r>
      <w:r w:rsidR="00543E15" w:rsidRPr="00B94685">
        <w:rPr>
          <w:rFonts w:cs="Arial"/>
          <w:color w:val="auto"/>
        </w:rPr>
        <w:t xml:space="preserve"> </w:t>
      </w:r>
    </w:p>
    <w:p w:rsidR="00DF23C6" w:rsidRPr="00691887" w:rsidRDefault="00B94685" w:rsidP="00DF23C6">
      <w:pPr>
        <w:pStyle w:val="ListParagraph"/>
        <w:jc w:val="both"/>
      </w:pPr>
      <w:r>
        <w:rPr>
          <w:rFonts w:cs="Arial"/>
          <w:color w:val="auto"/>
        </w:rPr>
        <w:t>Following proper consideration by officers a recommendation will be brought back to Cabinet for consideration about progression of a new CIL review.</w:t>
      </w:r>
      <w:r w:rsidR="0020359A" w:rsidRPr="00B94685">
        <w:rPr>
          <w:rFonts w:cs="Arial"/>
          <w:color w:val="auto"/>
        </w:rPr>
        <w:t xml:space="preserve"> </w:t>
      </w:r>
      <w:r>
        <w:rPr>
          <w:rFonts w:cs="Arial"/>
          <w:color w:val="auto"/>
        </w:rPr>
        <w:t>T</w:t>
      </w:r>
      <w:r w:rsidR="0020359A" w:rsidRPr="00B94685">
        <w:rPr>
          <w:rFonts w:cs="Arial"/>
          <w:color w:val="auto"/>
        </w:rPr>
        <w:t xml:space="preserve">he financial implications of </w:t>
      </w:r>
      <w:r>
        <w:rPr>
          <w:rFonts w:cs="Arial"/>
          <w:color w:val="auto"/>
        </w:rPr>
        <w:t>a future</w:t>
      </w:r>
      <w:r w:rsidRPr="00B94685">
        <w:rPr>
          <w:rFonts w:cs="Arial"/>
          <w:color w:val="auto"/>
        </w:rPr>
        <w:t xml:space="preserve"> </w:t>
      </w:r>
      <w:r w:rsidR="0020359A" w:rsidRPr="00B94685">
        <w:rPr>
          <w:rFonts w:cs="Arial"/>
          <w:color w:val="auto"/>
        </w:rPr>
        <w:t>revised schedule will be clearly set out</w:t>
      </w:r>
      <w:r>
        <w:rPr>
          <w:rFonts w:cs="Arial"/>
          <w:color w:val="auto"/>
        </w:rPr>
        <w:t xml:space="preserve"> as part of that report.</w:t>
      </w:r>
    </w:p>
    <w:p w:rsidR="00691887" w:rsidRPr="001F7EBA" w:rsidRDefault="00691887" w:rsidP="00691887">
      <w:pPr>
        <w:pStyle w:val="ListParagraph"/>
        <w:numPr>
          <w:ilvl w:val="0"/>
          <w:numId w:val="0"/>
        </w:numPr>
        <w:ind w:left="360"/>
        <w:jc w:val="both"/>
      </w:pPr>
    </w:p>
    <w:p w:rsidR="001F7EBA" w:rsidRPr="00EA752A" w:rsidRDefault="001F7EBA" w:rsidP="001F7EBA">
      <w:pPr>
        <w:pStyle w:val="ListParagraph"/>
        <w:numPr>
          <w:ilvl w:val="0"/>
          <w:numId w:val="0"/>
        </w:numPr>
        <w:spacing w:after="0"/>
        <w:ind w:left="357"/>
        <w:jc w:val="both"/>
      </w:pPr>
    </w:p>
    <w:p w:rsidR="00EA752A" w:rsidRDefault="00A1335E" w:rsidP="001F7EBA">
      <w:pPr>
        <w:pStyle w:val="Heading1"/>
        <w:spacing w:before="0"/>
        <w:jc w:val="both"/>
      </w:pPr>
      <w:r w:rsidRPr="00BA4FE4">
        <w:lastRenderedPageBreak/>
        <w:t>Legal issues</w:t>
      </w:r>
    </w:p>
    <w:p w:rsidR="00296DC1" w:rsidRDefault="00296DC1" w:rsidP="00296DC1">
      <w:pPr>
        <w:pStyle w:val="bParagraphtext"/>
      </w:pPr>
      <w:r>
        <w:t>The</w:t>
      </w:r>
      <w:r w:rsidRPr="00296DC1">
        <w:t xml:space="preserve"> Community Infrastructure Levy (“CIL”) is a charge which can be levied by local authorities on new development in their area. CIL only applies in areas where a local authority has consulted on, and approved, a charging schedule which sets out its levy rates and has publis</w:t>
      </w:r>
      <w:r>
        <w:t>hed the schedule on its website.</w:t>
      </w:r>
    </w:p>
    <w:p w:rsidR="00296DC1" w:rsidRDefault="00296DC1" w:rsidP="00296DC1">
      <w:pPr>
        <w:pStyle w:val="bParagraphtext"/>
      </w:pPr>
      <w:r>
        <w:t xml:space="preserve">The </w:t>
      </w:r>
      <w:r w:rsidRPr="00296DC1">
        <w:t>Community Infrastructure Levy Regulations 2010 set out the procedure for implementing CIL in a local authority’s area. These Regulations have been amended by the Community Infrastructure Levy (Amendment) (England) (No. 2) Regulations 2019 as referred to in paragraph 3 of the report.</w:t>
      </w:r>
    </w:p>
    <w:p w:rsidR="00296DC1" w:rsidRDefault="00296DC1" w:rsidP="00507B0D">
      <w:pPr>
        <w:pStyle w:val="bParagraphtext"/>
      </w:pPr>
      <w:r>
        <w:t xml:space="preserve">There </w:t>
      </w:r>
      <w:r w:rsidRPr="00296DC1">
        <w:t xml:space="preserve">are considered to be no legal issues with the recommended approach because it involves continuing with the status quo in terms of CIL. </w:t>
      </w:r>
    </w:p>
    <w:p w:rsidR="001F7EBA" w:rsidRPr="001356F1" w:rsidRDefault="001F7EBA" w:rsidP="001F7EBA">
      <w:pPr>
        <w:pStyle w:val="bParagraphtext"/>
        <w:numPr>
          <w:ilvl w:val="0"/>
          <w:numId w:val="0"/>
        </w:numPr>
        <w:spacing w:after="0"/>
        <w:ind w:left="357"/>
      </w:pPr>
    </w:p>
    <w:p w:rsidR="00A1335E" w:rsidRPr="001356F1" w:rsidRDefault="00A1335E" w:rsidP="001F7EBA">
      <w:pPr>
        <w:pStyle w:val="Heading1"/>
        <w:spacing w:before="0"/>
        <w:jc w:val="both"/>
      </w:pPr>
      <w:r w:rsidRPr="001356F1">
        <w:t>Level of risk</w:t>
      </w:r>
    </w:p>
    <w:p w:rsidR="00A1335E" w:rsidRDefault="00A1335E" w:rsidP="00A1335E">
      <w:pPr>
        <w:pStyle w:val="ListParagraph"/>
        <w:jc w:val="both"/>
      </w:pPr>
      <w:r w:rsidRPr="00AB7B72">
        <w:t xml:space="preserve">A risk assessment has been undertaken and the risk register is attached (Appendix </w:t>
      </w:r>
      <w:r w:rsidR="00543E15">
        <w:t>1</w:t>
      </w:r>
      <w:r w:rsidRPr="00AB7B72">
        <w:t xml:space="preserve">).  All risks have been mitigated to an acceptable level. </w:t>
      </w:r>
    </w:p>
    <w:p w:rsidR="001F7EBA" w:rsidRPr="001356F1" w:rsidRDefault="001F7EBA" w:rsidP="001F7EBA">
      <w:pPr>
        <w:pStyle w:val="ListParagraph"/>
        <w:numPr>
          <w:ilvl w:val="0"/>
          <w:numId w:val="0"/>
        </w:numPr>
        <w:spacing w:after="0"/>
        <w:ind w:left="357"/>
        <w:jc w:val="both"/>
      </w:pPr>
    </w:p>
    <w:p w:rsidR="00A1335E" w:rsidRPr="001356F1" w:rsidRDefault="00A1335E" w:rsidP="001F7EBA">
      <w:pPr>
        <w:pStyle w:val="Heading1"/>
        <w:spacing w:before="0"/>
        <w:jc w:val="both"/>
      </w:pPr>
      <w:r w:rsidRPr="001356F1">
        <w:t xml:space="preserve">Equalities impact </w:t>
      </w:r>
    </w:p>
    <w:p w:rsidR="00C00BF7" w:rsidRDefault="00A1335E" w:rsidP="00C00BF7">
      <w:pPr>
        <w:pStyle w:val="ListParagraph"/>
        <w:jc w:val="both"/>
      </w:pPr>
      <w:r>
        <w:t>T</w:t>
      </w:r>
      <w:r w:rsidRPr="00AB7B72">
        <w:t>here are no equalities impacts arising from this report.</w:t>
      </w:r>
    </w:p>
    <w:p w:rsidR="00C00BF7" w:rsidRDefault="00C00BF7" w:rsidP="00C00BF7">
      <w:pPr>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1356F1" w:rsidTr="0025434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A1335E" w:rsidRPr="006225A5" w:rsidRDefault="00A1335E" w:rsidP="00254345">
            <w:pPr>
              <w:jc w:val="both"/>
              <w:rPr>
                <w:b/>
              </w:rPr>
            </w:pPr>
            <w:r w:rsidRPr="006225A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A1335E" w:rsidRPr="006225A5" w:rsidRDefault="00543E15" w:rsidP="00254345">
            <w:pPr>
              <w:jc w:val="both"/>
            </w:pPr>
            <w:r>
              <w:t xml:space="preserve">Carolyn </w:t>
            </w:r>
            <w:proofErr w:type="spellStart"/>
            <w:r>
              <w:t>Ploszynski</w:t>
            </w:r>
            <w:proofErr w:type="spellEnd"/>
          </w:p>
        </w:tc>
      </w:tr>
      <w:tr w:rsidR="00A1335E" w:rsidRPr="001356F1" w:rsidTr="00254345">
        <w:trPr>
          <w:cantSplit/>
          <w:trHeight w:val="396"/>
        </w:trPr>
        <w:tc>
          <w:tcPr>
            <w:tcW w:w="3969" w:type="dxa"/>
            <w:tcBorders>
              <w:top w:val="single" w:sz="8" w:space="0" w:color="000000"/>
              <w:left w:val="single" w:sz="8" w:space="0" w:color="000000"/>
              <w:bottom w:val="nil"/>
              <w:right w:val="nil"/>
            </w:tcBorders>
            <w:shd w:val="clear" w:color="auto" w:fill="auto"/>
          </w:tcPr>
          <w:p w:rsidR="00A1335E" w:rsidRPr="006225A5" w:rsidRDefault="00A1335E" w:rsidP="00254345">
            <w:pPr>
              <w:jc w:val="both"/>
            </w:pPr>
            <w:r w:rsidRPr="006225A5">
              <w:t>Job title</w:t>
            </w:r>
          </w:p>
        </w:tc>
        <w:tc>
          <w:tcPr>
            <w:tcW w:w="4962" w:type="dxa"/>
            <w:tcBorders>
              <w:top w:val="single" w:sz="8" w:space="0" w:color="000000"/>
              <w:left w:val="nil"/>
              <w:bottom w:val="nil"/>
              <w:right w:val="single" w:sz="8" w:space="0" w:color="000000"/>
            </w:tcBorders>
            <w:shd w:val="clear" w:color="auto" w:fill="auto"/>
          </w:tcPr>
          <w:p w:rsidR="00A1335E" w:rsidRPr="0020359A" w:rsidRDefault="00543E15" w:rsidP="0020359A">
            <w:pPr>
              <w:jc w:val="both"/>
            </w:pPr>
            <w:r w:rsidRPr="00543E15">
              <w:t>Planning Policy and Place Manager</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Service area or department</w:t>
            </w:r>
          </w:p>
        </w:tc>
        <w:tc>
          <w:tcPr>
            <w:tcW w:w="4962" w:type="dxa"/>
            <w:tcBorders>
              <w:top w:val="nil"/>
              <w:left w:val="nil"/>
              <w:bottom w:val="nil"/>
              <w:right w:val="single" w:sz="8" w:space="0" w:color="000000"/>
            </w:tcBorders>
            <w:shd w:val="clear" w:color="auto" w:fill="auto"/>
          </w:tcPr>
          <w:p w:rsidR="00A1335E" w:rsidRPr="006225A5" w:rsidRDefault="00A1335E" w:rsidP="00267EF3">
            <w:pPr>
              <w:jc w:val="both"/>
            </w:pPr>
            <w:r w:rsidRPr="006225A5">
              <w:t>Planning Policy, Planning Services</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 xml:space="preserve">Telephone </w:t>
            </w:r>
          </w:p>
        </w:tc>
        <w:tc>
          <w:tcPr>
            <w:tcW w:w="4962" w:type="dxa"/>
            <w:tcBorders>
              <w:top w:val="nil"/>
              <w:left w:val="nil"/>
              <w:bottom w:val="nil"/>
              <w:right w:val="single" w:sz="8" w:space="0" w:color="000000"/>
            </w:tcBorders>
            <w:shd w:val="clear" w:color="auto" w:fill="auto"/>
          </w:tcPr>
          <w:p w:rsidR="00A1335E" w:rsidRPr="006225A5" w:rsidRDefault="00A1335E" w:rsidP="0020359A">
            <w:pPr>
              <w:jc w:val="both"/>
            </w:pPr>
            <w:r w:rsidRPr="006225A5">
              <w:t xml:space="preserve">01865 </w:t>
            </w:r>
          </w:p>
        </w:tc>
      </w:tr>
      <w:tr w:rsidR="00A1335E" w:rsidRPr="001356F1" w:rsidTr="00254345">
        <w:trPr>
          <w:cantSplit/>
          <w:trHeight w:val="396"/>
        </w:trPr>
        <w:tc>
          <w:tcPr>
            <w:tcW w:w="3969" w:type="dxa"/>
            <w:tcBorders>
              <w:top w:val="nil"/>
              <w:left w:val="single" w:sz="8" w:space="0" w:color="000000"/>
              <w:bottom w:val="single" w:sz="8" w:space="0" w:color="000000"/>
              <w:right w:val="nil"/>
            </w:tcBorders>
            <w:shd w:val="clear" w:color="auto" w:fill="auto"/>
          </w:tcPr>
          <w:p w:rsidR="00A1335E" w:rsidRPr="006225A5" w:rsidRDefault="00A1335E" w:rsidP="00254345">
            <w:pPr>
              <w:jc w:val="both"/>
            </w:pPr>
            <w:r w:rsidRPr="006225A5">
              <w:t xml:space="preserve">e-mail </w:t>
            </w:r>
          </w:p>
        </w:tc>
        <w:tc>
          <w:tcPr>
            <w:tcW w:w="4962" w:type="dxa"/>
            <w:tcBorders>
              <w:top w:val="nil"/>
              <w:left w:val="nil"/>
              <w:bottom w:val="single" w:sz="8" w:space="0" w:color="000000"/>
              <w:right w:val="single" w:sz="8" w:space="0" w:color="000000"/>
            </w:tcBorders>
            <w:shd w:val="clear" w:color="auto" w:fill="auto"/>
          </w:tcPr>
          <w:p w:rsidR="00A1335E" w:rsidRPr="006225A5" w:rsidRDefault="00543E15" w:rsidP="00366530">
            <w:pPr>
              <w:jc w:val="both"/>
              <w:rPr>
                <w:rStyle w:val="Hyperlink"/>
                <w:color w:val="000000"/>
              </w:rPr>
            </w:pPr>
            <w:r>
              <w:rPr>
                <w:rStyle w:val="Hyperlink"/>
                <w:color w:val="000000"/>
              </w:rPr>
              <w:t>cploszynski</w:t>
            </w:r>
            <w:r w:rsidR="0020359A">
              <w:rPr>
                <w:rStyle w:val="Hyperlink"/>
                <w:color w:val="000000"/>
              </w:rPr>
              <w:t>@oxford.gov.uk</w:t>
            </w:r>
          </w:p>
        </w:tc>
      </w:tr>
    </w:tbl>
    <w:p w:rsidR="00A1335E" w:rsidRPr="001356F1" w:rsidRDefault="00A1335E" w:rsidP="00A1335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1356F1"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rsidR="00A1335E" w:rsidRPr="001356F1" w:rsidRDefault="00A1335E" w:rsidP="00254345">
            <w:pPr>
              <w:jc w:val="both"/>
            </w:pPr>
            <w:r w:rsidRPr="001356F1">
              <w:rPr>
                <w:rStyle w:val="Firstpagetablebold"/>
              </w:rPr>
              <w:t xml:space="preserve">Background Papers: </w:t>
            </w:r>
            <w:r w:rsidRPr="001356F1">
              <w:rPr>
                <w:rStyle w:val="Firstpagetablebold"/>
                <w:b w:val="0"/>
              </w:rPr>
              <w:t>None</w:t>
            </w:r>
          </w:p>
        </w:tc>
      </w:tr>
    </w:tbl>
    <w:p w:rsidR="004456DD" w:rsidRPr="00A1335E" w:rsidRDefault="004456DD" w:rsidP="00A1335E"/>
    <w:sectPr w:rsidR="004456DD" w:rsidRPr="00A1335E"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AF" w:rsidRDefault="00924AAF" w:rsidP="004A6D2F">
      <w:r>
        <w:separator/>
      </w:r>
    </w:p>
  </w:endnote>
  <w:endnote w:type="continuationSeparator" w:id="0">
    <w:p w:rsidR="00924AAF" w:rsidRDefault="00924AA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AF" w:rsidRDefault="00924AAF" w:rsidP="004A6D2F">
      <w:r>
        <w:separator/>
      </w:r>
    </w:p>
  </w:footnote>
  <w:footnote w:type="continuationSeparator" w:id="0">
    <w:p w:rsidR="00924AAF" w:rsidRDefault="00924AA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E36B5" w:rsidP="00D5547E">
    <w:pPr>
      <w:pStyle w:val="Header"/>
      <w:jc w:val="right"/>
    </w:pPr>
    <w:r>
      <w:rPr>
        <w:noProof/>
      </w:rPr>
      <w:drawing>
        <wp:inline distT="0" distB="0" distL="0" distR="0" wp14:anchorId="151F77F6" wp14:editId="7349DE7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6746031"/>
    <w:multiLevelType w:val="hybridMultilevel"/>
    <w:tmpl w:val="3D404B1E"/>
    <w:lvl w:ilvl="0" w:tplc="451003BA">
      <w:start w:val="9"/>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D556BDB"/>
    <w:multiLevelType w:val="hybridMultilevel"/>
    <w:tmpl w:val="78F82350"/>
    <w:lvl w:ilvl="0" w:tplc="782E1478">
      <w:start w:val="1"/>
      <w:numFmt w:val="decimal"/>
      <w:lvlText w:val="4.%1"/>
      <w:lvlJc w:val="left"/>
      <w:pPr>
        <w:ind w:left="50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4"/>
  </w:num>
  <w:num w:numId="3">
    <w:abstractNumId w:val="24"/>
  </w:num>
  <w:num w:numId="4">
    <w:abstractNumId w:val="20"/>
  </w:num>
  <w:num w:numId="5">
    <w:abstractNumId w:val="31"/>
  </w:num>
  <w:num w:numId="6">
    <w:abstractNumId w:val="35"/>
  </w:num>
  <w:num w:numId="7">
    <w:abstractNumId w:val="23"/>
  </w:num>
  <w:num w:numId="8">
    <w:abstractNumId w:val="21"/>
  </w:num>
  <w:num w:numId="9">
    <w:abstractNumId w:val="14"/>
  </w:num>
  <w:num w:numId="10">
    <w:abstractNumId w:val="16"/>
  </w:num>
  <w:num w:numId="11">
    <w:abstractNumId w:val="27"/>
  </w:num>
  <w:num w:numId="12">
    <w:abstractNumId w:val="25"/>
  </w:num>
  <w:num w:numId="13">
    <w:abstractNumId w:val="10"/>
  </w:num>
  <w:num w:numId="14">
    <w:abstractNumId w:val="36"/>
    <w:lvlOverride w:ilvl="0">
      <w:lvl w:ilvl="0">
        <w:start w:val="1"/>
        <w:numFmt w:val="decimal"/>
        <w:pStyle w:val="ListParagraph"/>
        <w:lvlText w:val="%1."/>
        <w:lvlJc w:val="left"/>
        <w:pPr>
          <w:ind w:left="502"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2"/>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29"/>
  </w:num>
  <w:num w:numId="36">
    <w:abstractNumId w:val="13"/>
  </w:num>
  <w:num w:numId="37">
    <w:abstractNumId w:val="37"/>
  </w:num>
  <w:num w:numId="38">
    <w:abstractNumId w:val="36"/>
    <w:lvlOverride w:ilvl="0">
      <w:lvl w:ilvl="0">
        <w:start w:val="1"/>
        <w:numFmt w:val="decimal"/>
        <w:pStyle w:val="ListParagraph"/>
        <w:lvlText w:val="%1."/>
        <w:lvlJc w:val="left"/>
        <w:pPr>
          <w:ind w:left="360" w:hanging="360"/>
        </w:pPr>
        <w:rPr>
          <w:rFonts w:ascii="Arial" w:hAnsi="Arial"/>
          <w:color w:val="000000"/>
          <w:sz w:val="24"/>
        </w:rPr>
      </w:lvl>
    </w:lvlOverride>
  </w:num>
  <w:num w:numId="39">
    <w:abstractNumId w:val="36"/>
    <w:lvlOverride w:ilvl="0">
      <w:lvl w:ilvl="0">
        <w:start w:val="1"/>
        <w:numFmt w:val="decimal"/>
        <w:pStyle w:val="ListParagraph"/>
        <w:lvlText w:val="%1."/>
        <w:lvlJc w:val="left"/>
        <w:pPr>
          <w:ind w:left="360" w:hanging="360"/>
        </w:pPr>
        <w:rPr>
          <w:rFonts w:ascii="Arial" w:hAnsi="Arial"/>
          <w:color w:val="000000"/>
          <w:sz w:val="24"/>
        </w:rPr>
      </w:lvl>
    </w:lvlOverride>
  </w:num>
  <w:num w:numId="40">
    <w:abstractNumId w:val="36"/>
    <w:lvlOverride w:ilvl="0">
      <w:lvl w:ilvl="0">
        <w:start w:val="1"/>
        <w:numFmt w:val="decimal"/>
        <w:pStyle w:val="ListParagraph"/>
        <w:lvlText w:val="%1."/>
        <w:lvlJc w:val="left"/>
        <w:pPr>
          <w:ind w:left="360" w:hanging="360"/>
        </w:pPr>
        <w:rPr>
          <w:rFonts w:ascii="Arial" w:hAnsi="Arial"/>
          <w:color w:val="000000"/>
          <w:sz w:val="24"/>
        </w:rPr>
      </w:lvl>
    </w:lvlOverride>
  </w:num>
  <w:num w:numId="41">
    <w:abstractNumId w:val="19"/>
  </w:num>
  <w:num w:numId="42">
    <w:abstractNumId w:val="3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9"/>
    <w:rsid w:val="00001A85"/>
    <w:rsid w:val="00006089"/>
    <w:rsid w:val="000117D4"/>
    <w:rsid w:val="00012C67"/>
    <w:rsid w:val="000314D7"/>
    <w:rsid w:val="00035DF2"/>
    <w:rsid w:val="00040A87"/>
    <w:rsid w:val="00041297"/>
    <w:rsid w:val="00044576"/>
    <w:rsid w:val="00045F8B"/>
    <w:rsid w:val="00046D2B"/>
    <w:rsid w:val="00053F3F"/>
    <w:rsid w:val="00056263"/>
    <w:rsid w:val="00062F41"/>
    <w:rsid w:val="00064D8A"/>
    <w:rsid w:val="00064F82"/>
    <w:rsid w:val="00066510"/>
    <w:rsid w:val="00077523"/>
    <w:rsid w:val="00090F92"/>
    <w:rsid w:val="00095A37"/>
    <w:rsid w:val="0009686D"/>
    <w:rsid w:val="000A398C"/>
    <w:rsid w:val="000B31E4"/>
    <w:rsid w:val="000C089F"/>
    <w:rsid w:val="000C3928"/>
    <w:rsid w:val="000C5E8E"/>
    <w:rsid w:val="000D0C26"/>
    <w:rsid w:val="000F08E0"/>
    <w:rsid w:val="000F1603"/>
    <w:rsid w:val="000F4751"/>
    <w:rsid w:val="0010524C"/>
    <w:rsid w:val="00111FB1"/>
    <w:rsid w:val="00113418"/>
    <w:rsid w:val="00122320"/>
    <w:rsid w:val="001356F1"/>
    <w:rsid w:val="00136994"/>
    <w:rsid w:val="0014128E"/>
    <w:rsid w:val="00151888"/>
    <w:rsid w:val="00155A48"/>
    <w:rsid w:val="0016563C"/>
    <w:rsid w:val="00170A2D"/>
    <w:rsid w:val="001808BC"/>
    <w:rsid w:val="00182B81"/>
    <w:rsid w:val="00183B48"/>
    <w:rsid w:val="0018619D"/>
    <w:rsid w:val="001963C6"/>
    <w:rsid w:val="001A011E"/>
    <w:rsid w:val="001A066A"/>
    <w:rsid w:val="001A13E6"/>
    <w:rsid w:val="001A4B47"/>
    <w:rsid w:val="001A4E13"/>
    <w:rsid w:val="001A5731"/>
    <w:rsid w:val="001B42C3"/>
    <w:rsid w:val="001C5D5E"/>
    <w:rsid w:val="001D4137"/>
    <w:rsid w:val="001D5F50"/>
    <w:rsid w:val="001D678D"/>
    <w:rsid w:val="001E03F8"/>
    <w:rsid w:val="001E1678"/>
    <w:rsid w:val="001E3376"/>
    <w:rsid w:val="001E7977"/>
    <w:rsid w:val="001F0239"/>
    <w:rsid w:val="001F08CE"/>
    <w:rsid w:val="001F0D03"/>
    <w:rsid w:val="001F13DA"/>
    <w:rsid w:val="001F2A81"/>
    <w:rsid w:val="001F50AA"/>
    <w:rsid w:val="001F7EBA"/>
    <w:rsid w:val="00200A06"/>
    <w:rsid w:val="00203464"/>
    <w:rsid w:val="0020359A"/>
    <w:rsid w:val="002069B3"/>
    <w:rsid w:val="00224A19"/>
    <w:rsid w:val="002329CF"/>
    <w:rsid w:val="00232F5B"/>
    <w:rsid w:val="00240042"/>
    <w:rsid w:val="0024564B"/>
    <w:rsid w:val="00247C29"/>
    <w:rsid w:val="002526AE"/>
    <w:rsid w:val="00255DFD"/>
    <w:rsid w:val="00260467"/>
    <w:rsid w:val="00263309"/>
    <w:rsid w:val="00263EA3"/>
    <w:rsid w:val="00265D3E"/>
    <w:rsid w:val="00267EF3"/>
    <w:rsid w:val="00276BD2"/>
    <w:rsid w:val="00284F85"/>
    <w:rsid w:val="00290915"/>
    <w:rsid w:val="00292CF0"/>
    <w:rsid w:val="002939A9"/>
    <w:rsid w:val="00296DC1"/>
    <w:rsid w:val="002A22E2"/>
    <w:rsid w:val="002A34A4"/>
    <w:rsid w:val="002B4321"/>
    <w:rsid w:val="002B55D8"/>
    <w:rsid w:val="002C64F7"/>
    <w:rsid w:val="002D172B"/>
    <w:rsid w:val="002D29C7"/>
    <w:rsid w:val="002E135A"/>
    <w:rsid w:val="002E14DB"/>
    <w:rsid w:val="002F2B7A"/>
    <w:rsid w:val="002F41F2"/>
    <w:rsid w:val="002F7CB7"/>
    <w:rsid w:val="00301BF3"/>
    <w:rsid w:val="0030208D"/>
    <w:rsid w:val="003037EB"/>
    <w:rsid w:val="00314F34"/>
    <w:rsid w:val="00323418"/>
    <w:rsid w:val="00327200"/>
    <w:rsid w:val="003302B7"/>
    <w:rsid w:val="00330CB4"/>
    <w:rsid w:val="003357BF"/>
    <w:rsid w:val="00341D3C"/>
    <w:rsid w:val="0035123B"/>
    <w:rsid w:val="00364BAB"/>
    <w:rsid w:val="00364FAD"/>
    <w:rsid w:val="00366530"/>
    <w:rsid w:val="0036738F"/>
    <w:rsid w:val="0036759C"/>
    <w:rsid w:val="00367AE5"/>
    <w:rsid w:val="00367D71"/>
    <w:rsid w:val="003718A3"/>
    <w:rsid w:val="00374FFC"/>
    <w:rsid w:val="0037601B"/>
    <w:rsid w:val="0038150A"/>
    <w:rsid w:val="003842D1"/>
    <w:rsid w:val="00391B1B"/>
    <w:rsid w:val="003942D0"/>
    <w:rsid w:val="003965DA"/>
    <w:rsid w:val="003A46B1"/>
    <w:rsid w:val="003B2EE6"/>
    <w:rsid w:val="003B6E75"/>
    <w:rsid w:val="003B7DA1"/>
    <w:rsid w:val="003C21A4"/>
    <w:rsid w:val="003C37EC"/>
    <w:rsid w:val="003C3CC5"/>
    <w:rsid w:val="003D0379"/>
    <w:rsid w:val="003D2574"/>
    <w:rsid w:val="003D4C59"/>
    <w:rsid w:val="003E36B5"/>
    <w:rsid w:val="003F206F"/>
    <w:rsid w:val="003F4267"/>
    <w:rsid w:val="003F7C88"/>
    <w:rsid w:val="00404032"/>
    <w:rsid w:val="0040736F"/>
    <w:rsid w:val="00412C1F"/>
    <w:rsid w:val="00414AA0"/>
    <w:rsid w:val="00421CB2"/>
    <w:rsid w:val="004268B9"/>
    <w:rsid w:val="004309AF"/>
    <w:rsid w:val="00433B96"/>
    <w:rsid w:val="00436B1F"/>
    <w:rsid w:val="00437375"/>
    <w:rsid w:val="00437960"/>
    <w:rsid w:val="004440F1"/>
    <w:rsid w:val="004456DD"/>
    <w:rsid w:val="00446CDF"/>
    <w:rsid w:val="004509FA"/>
    <w:rsid w:val="004521B7"/>
    <w:rsid w:val="00457E7B"/>
    <w:rsid w:val="00462AB5"/>
    <w:rsid w:val="00465C59"/>
    <w:rsid w:val="00465EAF"/>
    <w:rsid w:val="004738C5"/>
    <w:rsid w:val="00474769"/>
    <w:rsid w:val="00475FD7"/>
    <w:rsid w:val="004842D5"/>
    <w:rsid w:val="004856F1"/>
    <w:rsid w:val="004867AD"/>
    <w:rsid w:val="00487469"/>
    <w:rsid w:val="00491046"/>
    <w:rsid w:val="00491695"/>
    <w:rsid w:val="004A2AC7"/>
    <w:rsid w:val="004A6D2F"/>
    <w:rsid w:val="004C2887"/>
    <w:rsid w:val="004C3ACA"/>
    <w:rsid w:val="004D2626"/>
    <w:rsid w:val="004D4428"/>
    <w:rsid w:val="004D6E26"/>
    <w:rsid w:val="004D77D3"/>
    <w:rsid w:val="004E030F"/>
    <w:rsid w:val="004E035E"/>
    <w:rsid w:val="004E195C"/>
    <w:rsid w:val="004E2959"/>
    <w:rsid w:val="004E4947"/>
    <w:rsid w:val="004F20EF"/>
    <w:rsid w:val="00501546"/>
    <w:rsid w:val="0050321C"/>
    <w:rsid w:val="00507B0D"/>
    <w:rsid w:val="00512C91"/>
    <w:rsid w:val="0051785E"/>
    <w:rsid w:val="00521B45"/>
    <w:rsid w:val="00525562"/>
    <w:rsid w:val="00526F16"/>
    <w:rsid w:val="00537A6C"/>
    <w:rsid w:val="005427B2"/>
    <w:rsid w:val="00543E15"/>
    <w:rsid w:val="00544AFC"/>
    <w:rsid w:val="0054712D"/>
    <w:rsid w:val="00547EF6"/>
    <w:rsid w:val="0055565D"/>
    <w:rsid w:val="005570B5"/>
    <w:rsid w:val="0055762D"/>
    <w:rsid w:val="00566343"/>
    <w:rsid w:val="00567E18"/>
    <w:rsid w:val="00575F5F"/>
    <w:rsid w:val="00581805"/>
    <w:rsid w:val="00584B70"/>
    <w:rsid w:val="00585656"/>
    <w:rsid w:val="00585F76"/>
    <w:rsid w:val="0059519F"/>
    <w:rsid w:val="005A00A7"/>
    <w:rsid w:val="005A06F6"/>
    <w:rsid w:val="005A34E4"/>
    <w:rsid w:val="005A59D2"/>
    <w:rsid w:val="005B0748"/>
    <w:rsid w:val="005B17F2"/>
    <w:rsid w:val="005B32A0"/>
    <w:rsid w:val="005B6947"/>
    <w:rsid w:val="005B7FB0"/>
    <w:rsid w:val="005C35A5"/>
    <w:rsid w:val="005C577C"/>
    <w:rsid w:val="005D018F"/>
    <w:rsid w:val="005D0621"/>
    <w:rsid w:val="005D18B6"/>
    <w:rsid w:val="005D1E27"/>
    <w:rsid w:val="005D2A3E"/>
    <w:rsid w:val="005D6384"/>
    <w:rsid w:val="005D6E1B"/>
    <w:rsid w:val="005D6EC8"/>
    <w:rsid w:val="005D7EFA"/>
    <w:rsid w:val="005E022E"/>
    <w:rsid w:val="005E5215"/>
    <w:rsid w:val="005E7FCB"/>
    <w:rsid w:val="005F7F7E"/>
    <w:rsid w:val="00601E0B"/>
    <w:rsid w:val="00614693"/>
    <w:rsid w:val="006225A5"/>
    <w:rsid w:val="00623C2F"/>
    <w:rsid w:val="00632771"/>
    <w:rsid w:val="00633578"/>
    <w:rsid w:val="00636420"/>
    <w:rsid w:val="00636770"/>
    <w:rsid w:val="00637068"/>
    <w:rsid w:val="006401A6"/>
    <w:rsid w:val="006413F2"/>
    <w:rsid w:val="00641F73"/>
    <w:rsid w:val="00650811"/>
    <w:rsid w:val="00661D3E"/>
    <w:rsid w:val="006754FA"/>
    <w:rsid w:val="0068005F"/>
    <w:rsid w:val="006825A0"/>
    <w:rsid w:val="00686AE9"/>
    <w:rsid w:val="00691887"/>
    <w:rsid w:val="00692627"/>
    <w:rsid w:val="006941F1"/>
    <w:rsid w:val="006969E7"/>
    <w:rsid w:val="006A3643"/>
    <w:rsid w:val="006B0944"/>
    <w:rsid w:val="006C2A29"/>
    <w:rsid w:val="006C64CF"/>
    <w:rsid w:val="006D17B1"/>
    <w:rsid w:val="006D4752"/>
    <w:rsid w:val="006D708A"/>
    <w:rsid w:val="006E14C1"/>
    <w:rsid w:val="006F0292"/>
    <w:rsid w:val="006F27FA"/>
    <w:rsid w:val="006F416B"/>
    <w:rsid w:val="006F519B"/>
    <w:rsid w:val="006F5C91"/>
    <w:rsid w:val="00707449"/>
    <w:rsid w:val="00707AF2"/>
    <w:rsid w:val="00713675"/>
    <w:rsid w:val="00715823"/>
    <w:rsid w:val="00722538"/>
    <w:rsid w:val="00722C5C"/>
    <w:rsid w:val="00737B93"/>
    <w:rsid w:val="0074240F"/>
    <w:rsid w:val="00745BF0"/>
    <w:rsid w:val="00753949"/>
    <w:rsid w:val="00761175"/>
    <w:rsid w:val="007615FE"/>
    <w:rsid w:val="00764E9B"/>
    <w:rsid w:val="0076655C"/>
    <w:rsid w:val="00772EDD"/>
    <w:rsid w:val="007742DC"/>
    <w:rsid w:val="00783D9A"/>
    <w:rsid w:val="00787FAA"/>
    <w:rsid w:val="00791437"/>
    <w:rsid w:val="0079634F"/>
    <w:rsid w:val="007A231F"/>
    <w:rsid w:val="007A28C7"/>
    <w:rsid w:val="007A3EA0"/>
    <w:rsid w:val="007B0C2C"/>
    <w:rsid w:val="007B278E"/>
    <w:rsid w:val="007B7A82"/>
    <w:rsid w:val="007C5C23"/>
    <w:rsid w:val="007C7C60"/>
    <w:rsid w:val="007D1977"/>
    <w:rsid w:val="007D2D0E"/>
    <w:rsid w:val="007E0A17"/>
    <w:rsid w:val="007E2A26"/>
    <w:rsid w:val="007E7A18"/>
    <w:rsid w:val="007F0879"/>
    <w:rsid w:val="007F2348"/>
    <w:rsid w:val="007F3914"/>
    <w:rsid w:val="00800D6A"/>
    <w:rsid w:val="00803F07"/>
    <w:rsid w:val="0080749A"/>
    <w:rsid w:val="00813009"/>
    <w:rsid w:val="00821FB8"/>
    <w:rsid w:val="00822ACD"/>
    <w:rsid w:val="0082790D"/>
    <w:rsid w:val="008303FE"/>
    <w:rsid w:val="00831ADA"/>
    <w:rsid w:val="00855C66"/>
    <w:rsid w:val="00862E6F"/>
    <w:rsid w:val="00863B7D"/>
    <w:rsid w:val="00871EE4"/>
    <w:rsid w:val="008A70E2"/>
    <w:rsid w:val="008B293F"/>
    <w:rsid w:val="008B7371"/>
    <w:rsid w:val="008C54DF"/>
    <w:rsid w:val="008C6443"/>
    <w:rsid w:val="008C6AC6"/>
    <w:rsid w:val="008D3DDB"/>
    <w:rsid w:val="008E02B0"/>
    <w:rsid w:val="008E25D9"/>
    <w:rsid w:val="008F12C4"/>
    <w:rsid w:val="008F573F"/>
    <w:rsid w:val="008F7524"/>
    <w:rsid w:val="009034EC"/>
    <w:rsid w:val="0090454D"/>
    <w:rsid w:val="0090646F"/>
    <w:rsid w:val="0090707C"/>
    <w:rsid w:val="00914495"/>
    <w:rsid w:val="00917398"/>
    <w:rsid w:val="00920138"/>
    <w:rsid w:val="009202AC"/>
    <w:rsid w:val="00924AAF"/>
    <w:rsid w:val="0093067A"/>
    <w:rsid w:val="009340A3"/>
    <w:rsid w:val="00941C60"/>
    <w:rsid w:val="00945ED0"/>
    <w:rsid w:val="009518CA"/>
    <w:rsid w:val="00960669"/>
    <w:rsid w:val="00966D42"/>
    <w:rsid w:val="00971689"/>
    <w:rsid w:val="00973E90"/>
    <w:rsid w:val="00975B07"/>
    <w:rsid w:val="00980B4A"/>
    <w:rsid w:val="00985AF2"/>
    <w:rsid w:val="00991CD7"/>
    <w:rsid w:val="009962D9"/>
    <w:rsid w:val="00997D09"/>
    <w:rsid w:val="009A3688"/>
    <w:rsid w:val="009A524C"/>
    <w:rsid w:val="009B0970"/>
    <w:rsid w:val="009B53B5"/>
    <w:rsid w:val="009C35D9"/>
    <w:rsid w:val="009D3927"/>
    <w:rsid w:val="009E3D0A"/>
    <w:rsid w:val="009E51FC"/>
    <w:rsid w:val="009E5D40"/>
    <w:rsid w:val="009F1D28"/>
    <w:rsid w:val="009F7618"/>
    <w:rsid w:val="00A04D23"/>
    <w:rsid w:val="00A05C14"/>
    <w:rsid w:val="00A06766"/>
    <w:rsid w:val="00A07FE2"/>
    <w:rsid w:val="00A12858"/>
    <w:rsid w:val="00A1335E"/>
    <w:rsid w:val="00A13765"/>
    <w:rsid w:val="00A13F70"/>
    <w:rsid w:val="00A21B12"/>
    <w:rsid w:val="00A2345D"/>
    <w:rsid w:val="00A23F80"/>
    <w:rsid w:val="00A27275"/>
    <w:rsid w:val="00A46E98"/>
    <w:rsid w:val="00A545CD"/>
    <w:rsid w:val="00A56FCA"/>
    <w:rsid w:val="00A6352B"/>
    <w:rsid w:val="00A64E9E"/>
    <w:rsid w:val="00A701B5"/>
    <w:rsid w:val="00A714BB"/>
    <w:rsid w:val="00A71583"/>
    <w:rsid w:val="00A82490"/>
    <w:rsid w:val="00A92D8F"/>
    <w:rsid w:val="00A975B6"/>
    <w:rsid w:val="00AA19FE"/>
    <w:rsid w:val="00AB2988"/>
    <w:rsid w:val="00AB6CEF"/>
    <w:rsid w:val="00AB70F9"/>
    <w:rsid w:val="00AB7999"/>
    <w:rsid w:val="00AB7B72"/>
    <w:rsid w:val="00AC2062"/>
    <w:rsid w:val="00AC2F33"/>
    <w:rsid w:val="00AC422E"/>
    <w:rsid w:val="00AD0BF9"/>
    <w:rsid w:val="00AD3292"/>
    <w:rsid w:val="00AE7AF0"/>
    <w:rsid w:val="00AF040F"/>
    <w:rsid w:val="00B00FE7"/>
    <w:rsid w:val="00B12DA4"/>
    <w:rsid w:val="00B14D63"/>
    <w:rsid w:val="00B15E6A"/>
    <w:rsid w:val="00B32728"/>
    <w:rsid w:val="00B350E0"/>
    <w:rsid w:val="00B355F0"/>
    <w:rsid w:val="00B37F2C"/>
    <w:rsid w:val="00B40D69"/>
    <w:rsid w:val="00B500CA"/>
    <w:rsid w:val="00B51668"/>
    <w:rsid w:val="00B54E01"/>
    <w:rsid w:val="00B56680"/>
    <w:rsid w:val="00B659BD"/>
    <w:rsid w:val="00B70881"/>
    <w:rsid w:val="00B747B5"/>
    <w:rsid w:val="00B776CB"/>
    <w:rsid w:val="00B86314"/>
    <w:rsid w:val="00B94685"/>
    <w:rsid w:val="00BA1C2E"/>
    <w:rsid w:val="00BA2483"/>
    <w:rsid w:val="00BA2976"/>
    <w:rsid w:val="00BA4FE4"/>
    <w:rsid w:val="00BB2CEC"/>
    <w:rsid w:val="00BC200B"/>
    <w:rsid w:val="00BC4756"/>
    <w:rsid w:val="00BC69A4"/>
    <w:rsid w:val="00BD1107"/>
    <w:rsid w:val="00BD2AFE"/>
    <w:rsid w:val="00BE0680"/>
    <w:rsid w:val="00BE305F"/>
    <w:rsid w:val="00BE5E7B"/>
    <w:rsid w:val="00BE6723"/>
    <w:rsid w:val="00BE7BA3"/>
    <w:rsid w:val="00BF17A0"/>
    <w:rsid w:val="00BF5682"/>
    <w:rsid w:val="00BF707E"/>
    <w:rsid w:val="00BF7B09"/>
    <w:rsid w:val="00C00BF7"/>
    <w:rsid w:val="00C07C61"/>
    <w:rsid w:val="00C205E3"/>
    <w:rsid w:val="00C20A95"/>
    <w:rsid w:val="00C20E78"/>
    <w:rsid w:val="00C25708"/>
    <w:rsid w:val="00C26335"/>
    <w:rsid w:val="00C2692F"/>
    <w:rsid w:val="00C3207C"/>
    <w:rsid w:val="00C400E1"/>
    <w:rsid w:val="00C41187"/>
    <w:rsid w:val="00C42528"/>
    <w:rsid w:val="00C43032"/>
    <w:rsid w:val="00C50136"/>
    <w:rsid w:val="00C63C31"/>
    <w:rsid w:val="00C73F2B"/>
    <w:rsid w:val="00C757A0"/>
    <w:rsid w:val="00C760DE"/>
    <w:rsid w:val="00C80B7F"/>
    <w:rsid w:val="00C80E21"/>
    <w:rsid w:val="00C81C43"/>
    <w:rsid w:val="00C82630"/>
    <w:rsid w:val="00C85B4E"/>
    <w:rsid w:val="00C907F7"/>
    <w:rsid w:val="00C930BD"/>
    <w:rsid w:val="00CA12E5"/>
    <w:rsid w:val="00CA2103"/>
    <w:rsid w:val="00CB5DF9"/>
    <w:rsid w:val="00CB6B99"/>
    <w:rsid w:val="00CB6C61"/>
    <w:rsid w:val="00CC7239"/>
    <w:rsid w:val="00CD1E27"/>
    <w:rsid w:val="00CE4C87"/>
    <w:rsid w:val="00CE544A"/>
    <w:rsid w:val="00CE7A02"/>
    <w:rsid w:val="00CF3644"/>
    <w:rsid w:val="00D023C4"/>
    <w:rsid w:val="00D11E1C"/>
    <w:rsid w:val="00D160B0"/>
    <w:rsid w:val="00D17F94"/>
    <w:rsid w:val="00D223FC"/>
    <w:rsid w:val="00D2560D"/>
    <w:rsid w:val="00D26D1E"/>
    <w:rsid w:val="00D27BD7"/>
    <w:rsid w:val="00D327D0"/>
    <w:rsid w:val="00D3538A"/>
    <w:rsid w:val="00D474CF"/>
    <w:rsid w:val="00D5547E"/>
    <w:rsid w:val="00D63AB6"/>
    <w:rsid w:val="00D73F3E"/>
    <w:rsid w:val="00D805A9"/>
    <w:rsid w:val="00D81D3C"/>
    <w:rsid w:val="00D85BD5"/>
    <w:rsid w:val="00D869A1"/>
    <w:rsid w:val="00D94217"/>
    <w:rsid w:val="00DA038B"/>
    <w:rsid w:val="00DA413F"/>
    <w:rsid w:val="00DA4584"/>
    <w:rsid w:val="00DA614B"/>
    <w:rsid w:val="00DA7965"/>
    <w:rsid w:val="00DC0B73"/>
    <w:rsid w:val="00DC3060"/>
    <w:rsid w:val="00DE0FB2"/>
    <w:rsid w:val="00DE1350"/>
    <w:rsid w:val="00DF093E"/>
    <w:rsid w:val="00DF23C6"/>
    <w:rsid w:val="00DF5BD6"/>
    <w:rsid w:val="00DF6D95"/>
    <w:rsid w:val="00E01F42"/>
    <w:rsid w:val="00E0526D"/>
    <w:rsid w:val="00E206D6"/>
    <w:rsid w:val="00E20C62"/>
    <w:rsid w:val="00E24742"/>
    <w:rsid w:val="00E27E4F"/>
    <w:rsid w:val="00E314A9"/>
    <w:rsid w:val="00E3366E"/>
    <w:rsid w:val="00E3560D"/>
    <w:rsid w:val="00E41912"/>
    <w:rsid w:val="00E47919"/>
    <w:rsid w:val="00E52086"/>
    <w:rsid w:val="00E54357"/>
    <w:rsid w:val="00E543A6"/>
    <w:rsid w:val="00E5542E"/>
    <w:rsid w:val="00E60479"/>
    <w:rsid w:val="00E61D73"/>
    <w:rsid w:val="00E656F6"/>
    <w:rsid w:val="00E718DF"/>
    <w:rsid w:val="00E73083"/>
    <w:rsid w:val="00E73684"/>
    <w:rsid w:val="00E818D6"/>
    <w:rsid w:val="00E87F7A"/>
    <w:rsid w:val="00E9228C"/>
    <w:rsid w:val="00E96BD7"/>
    <w:rsid w:val="00EA0DB1"/>
    <w:rsid w:val="00EA0EE9"/>
    <w:rsid w:val="00EA328F"/>
    <w:rsid w:val="00EA752A"/>
    <w:rsid w:val="00EB72C8"/>
    <w:rsid w:val="00ED52CA"/>
    <w:rsid w:val="00ED5860"/>
    <w:rsid w:val="00EE2567"/>
    <w:rsid w:val="00EE35C9"/>
    <w:rsid w:val="00EF42B8"/>
    <w:rsid w:val="00F05ECA"/>
    <w:rsid w:val="00F11FCE"/>
    <w:rsid w:val="00F21F8C"/>
    <w:rsid w:val="00F244B0"/>
    <w:rsid w:val="00F3566E"/>
    <w:rsid w:val="00F375FB"/>
    <w:rsid w:val="00F40581"/>
    <w:rsid w:val="00F41AC1"/>
    <w:rsid w:val="00F4367A"/>
    <w:rsid w:val="00F43E8D"/>
    <w:rsid w:val="00F445B1"/>
    <w:rsid w:val="00F45CD4"/>
    <w:rsid w:val="00F5059D"/>
    <w:rsid w:val="00F516A2"/>
    <w:rsid w:val="00F66DCA"/>
    <w:rsid w:val="00F731DB"/>
    <w:rsid w:val="00F74F53"/>
    <w:rsid w:val="00F7606D"/>
    <w:rsid w:val="00F81670"/>
    <w:rsid w:val="00F82024"/>
    <w:rsid w:val="00F83F2F"/>
    <w:rsid w:val="00F95BC9"/>
    <w:rsid w:val="00F97BDF"/>
    <w:rsid w:val="00FA260C"/>
    <w:rsid w:val="00FA34BE"/>
    <w:rsid w:val="00FA624C"/>
    <w:rsid w:val="00FB109F"/>
    <w:rsid w:val="00FC0A2B"/>
    <w:rsid w:val="00FC59D3"/>
    <w:rsid w:val="00FD0FAC"/>
    <w:rsid w:val="00FD1DFA"/>
    <w:rsid w:val="00FD4966"/>
    <w:rsid w:val="00FE57DC"/>
    <w:rsid w:val="00FE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685"/>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685"/>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11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6E89-ED2F-49F9-AA31-2275A65D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8D9BDFA7</Template>
  <TotalTime>10</TotalTime>
  <Pages>5</Pages>
  <Words>1726</Words>
  <Characters>9328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JMitchell</cp:lastModifiedBy>
  <cp:revision>9</cp:revision>
  <cp:lastPrinted>2018-10-31T15:58:00Z</cp:lastPrinted>
  <dcterms:created xsi:type="dcterms:W3CDTF">2020-02-13T19:08:00Z</dcterms:created>
  <dcterms:modified xsi:type="dcterms:W3CDTF">2020-02-27T10:29:00Z</dcterms:modified>
</cp:coreProperties>
</file>